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Germany Frankfurt — Hesse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QE-2025-FL-0847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Goethe-Universität Frankfurt am Main / Johann Wolfgang Goethe University, Frankfurt, Germany</w:t>
            </w:r>
          </w:p>
        </w:tc>
      </w:tr>
      <w:tr>
        <w:tc>
          <w:tcPr/>
          <w:p>
            <w:pPr>
              <w:pStyle w:val="Compact"/>
              <w:jc w:val="left"/>
            </w:pPr>
            <w:r>
              <w:t xml:space="preserve">Prepared By</w:t>
            </w:r>
          </w:p>
        </w:tc>
        <w:tc>
          <w:tcPr/>
          <w:p>
            <w:pPr>
              <w:pStyle w:val="Compact"/>
              <w:jc w:val="left"/>
            </w:pPr>
            <w:r>
              <w:t xml:space="preserve">Academic Recruitment &amp; Consulting Services GmbH, Bockenheimer Landstraße 12, 60323 Frankfurt am Main, Germany</w:t>
            </w:r>
          </w:p>
        </w:tc>
      </w:tr>
      <w:tr>
        <w:tc>
          <w:tcPr/>
          <w:p>
            <w:pPr>
              <w:pStyle w:val="Compact"/>
              <w:jc w:val="left"/>
            </w:pPr>
            <w:r>
              <w:t xml:space="preserve">Position</w:t>
            </w:r>
          </w:p>
        </w:tc>
        <w:tc>
          <w:tcPr/>
          <w:p>
            <w:pPr>
              <w:pStyle w:val="Compact"/>
              <w:jc w:val="left"/>
            </w:pPr>
            <w:r>
              <w:t xml:space="preserve">University Lecturer (W2 / W3 Equivalent) — Department of Economics &amp; Business Administration</w:t>
            </w:r>
          </w:p>
        </w:tc>
      </w:tr>
      <w:tr>
        <w:tc>
          <w:tcPr/>
          <w:p>
            <w:pPr>
              <w:pStyle w:val="Compact"/>
              <w:jc w:val="left"/>
            </w:pPr>
            <w:r>
              <w:t xml:space="preserve">Location</w:t>
            </w:r>
          </w:p>
        </w:tc>
        <w:tc>
          <w:tcPr/>
          <w:p>
            <w:pPr>
              <w:pStyle w:val="Compact"/>
              <w:jc w:val="left"/>
            </w:pPr>
            <w:r>
              <w:t xml:space="preserve">Frankfurt, Germany (Hesse) — Campus Westend, Theodor-W.-Adorno-Platz 3, 60323 Frankfurt am Main</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in accordance with the academic hiring standards of the Federal Republic of Germany and the specific institutional requirements of universities located in Germany Frankfurt. It outlines the comprehensive financial and operational framework for the recruitment, onboarding, and initial engagement of a qualified University Lecturer to serve within the academic departments of a higher education institution in Frankfurt am Main.</w:t>
      </w:r>
    </w:p>
    <w:p>
      <w:pPr>
        <w:pStyle w:val="BodyText"/>
      </w:pPr>
      <w:r>
        <w:t xml:space="preserve">The scope of this Quotation Estimate encompasses all costs associated with the search, selection, contractual arrangement, and first-year support of a University Lecturer who will deliver undergraduate and graduate-level instruction, supervise doctoral candidates, and contribute to the research output of the host institution in Germany Frankfurt. All figures presented herein are denominated in Euros (EUR) and reflect current market rates as of the date of issue.</w:t>
      </w:r>
    </w:p>
    <w:bookmarkEnd w:id="21"/>
    <w:bookmarkStart w:id="22" w:name="position-description-university-lecturer"/>
    <w:p>
      <w:pPr>
        <w:pStyle w:val="Heading2"/>
      </w:pPr>
      <w:r>
        <w:t xml:space="preserve">2. Position Description — University Lecturer</w:t>
      </w:r>
    </w:p>
    <w:p>
      <w:pPr>
        <w:pStyle w:val="FirstParagraph"/>
      </w:pPr>
      <w:r>
        <w:t xml:space="preserve">The University Lecturer position described in this Quotation Estimate requires a candidate holding a completed doctoral degree (Promotion) in the relevant discipline, a minimum of five years of post-doctoral research experience, and a proven track record of peer-reviewed publications. The University Lecturer will be responsible for:</w:t>
      </w:r>
    </w:p>
    <w:p>
      <w:pPr>
        <w:numPr>
          <w:ilvl w:val="0"/>
          <w:numId w:val="1001"/>
        </w:numPr>
        <w:pStyle w:val="Compact"/>
      </w:pPr>
      <w:r>
        <w:t xml:space="preserve">Delivering a minimum of 180 teaching hours per academic year across undergraduate (Bachelor) and graduate (Master) programmes.</w:t>
      </w:r>
    </w:p>
    <w:p>
      <w:pPr>
        <w:numPr>
          <w:ilvl w:val="0"/>
          <w:numId w:val="1001"/>
        </w:numPr>
        <w:pStyle w:val="Compact"/>
      </w:pPr>
      <w:r>
        <w:t xml:space="preserve">Supervising a maximum of four doctoral (PhD) candidates concurrently.</w:t>
      </w:r>
    </w:p>
    <w:p>
      <w:pPr>
        <w:numPr>
          <w:ilvl w:val="0"/>
          <w:numId w:val="1001"/>
        </w:numPr>
        <w:pStyle w:val="Compact"/>
      </w:pPr>
      <w:r>
        <w:t xml:space="preserve">Contributing to the strategic research agenda of the department and securing external research funding through DFG, EU Horizon, or other applicable bodies.</w:t>
      </w:r>
    </w:p>
    <w:p>
      <w:pPr>
        <w:numPr>
          <w:ilvl w:val="0"/>
          <w:numId w:val="1001"/>
        </w:numPr>
        <w:pStyle w:val="Compact"/>
      </w:pPr>
      <w:r>
        <w:t xml:space="preserve">Participating in curriculum development, examination boards, and faculty governance committees as mandated by the Hessian Higher Education Act (HessHG).</w:t>
      </w:r>
    </w:p>
    <w:p>
      <w:pPr>
        <w:numPr>
          <w:ilvl w:val="0"/>
          <w:numId w:val="1001"/>
        </w:numPr>
        <w:pStyle w:val="Compact"/>
      </w:pPr>
      <w:r>
        <w:t xml:space="preserve">Representing the institution at national and international academic conferences, with particular emphasis on the Frankfurt School of Economics and Finance network.</w:t>
      </w:r>
    </w:p>
    <w:bookmarkEnd w:id="22"/>
    <w:bookmarkStart w:id="23" w:name="fee-breakdown-quotation-estimate-details"/>
    <w:p>
      <w:pPr>
        <w:pStyle w:val="Heading2"/>
      </w:pPr>
      <w:r>
        <w:t xml:space="preserve">3. Fee Breakdown — Quotation Estimate Details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Academic Recruitment &amp; Search Fee (University Lecturer position, Germany Frankfurt)</w:t>
            </w:r>
          </w:p>
        </w:tc>
        <w:tc>
          <w:tcPr/>
          <w:p>
            <w:pPr>
              <w:pStyle w:val="Compact"/>
              <w:jc w:val="left"/>
            </w:pPr>
            <w:r>
              <w:t xml:space="preserve">12,500.00</w:t>
            </w:r>
          </w:p>
        </w:tc>
      </w:tr>
      <w:tr>
        <w:tc>
          <w:tcPr/>
          <w:p>
            <w:pPr>
              <w:pStyle w:val="Compact"/>
              <w:jc w:val="left"/>
            </w:pPr>
            <w:r>
              <w:t xml:space="preserve">3.2</w:t>
            </w:r>
          </w:p>
        </w:tc>
        <w:tc>
          <w:tcPr/>
          <w:p>
            <w:pPr>
              <w:pStyle w:val="Compact"/>
              <w:jc w:val="left"/>
            </w:pPr>
            <w:r>
              <w:t xml:space="preserve">International Candidate Visa &amp; Work Permit Processing (if applicable)</w:t>
            </w:r>
          </w:p>
        </w:tc>
        <w:tc>
          <w:tcPr/>
          <w:p>
            <w:pPr>
              <w:pStyle w:val="Compact"/>
              <w:jc w:val="left"/>
            </w:pPr>
            <w:r>
              <w:t xml:space="preserve">2,800.00</w:t>
            </w:r>
          </w:p>
        </w:tc>
      </w:tr>
      <w:tr>
        <w:tc>
          <w:tcPr/>
          <w:p>
            <w:pPr>
              <w:pStyle w:val="Compact"/>
              <w:jc w:val="left"/>
            </w:pPr>
            <w:r>
              <w:t xml:space="preserve">3.3</w:t>
            </w:r>
          </w:p>
        </w:tc>
        <w:tc>
          <w:tcPr/>
          <w:p>
            <w:pPr>
              <w:pStyle w:val="Compact"/>
              <w:jc w:val="left"/>
            </w:pPr>
            <w:r>
              <w:t xml:space="preserve">Contract Drafting &amp; Legal Review (TV-L / TV-H based, Germany Frankfurt jurisdiction)</w:t>
            </w:r>
          </w:p>
        </w:tc>
        <w:tc>
          <w:tcPr/>
          <w:p>
            <w:pPr>
              <w:pStyle w:val="Compact"/>
              <w:jc w:val="left"/>
            </w:pPr>
            <w:r>
              <w:t xml:space="preserve">3,200.00</w:t>
            </w:r>
          </w:p>
        </w:tc>
      </w:tr>
      <w:tr>
        <w:tc>
          <w:tcPr/>
          <w:p>
            <w:pPr>
              <w:pStyle w:val="Compact"/>
              <w:jc w:val="left"/>
            </w:pPr>
            <w:r>
              <w:t xml:space="preserve">3.4</w:t>
            </w:r>
          </w:p>
        </w:tc>
        <w:tc>
          <w:tcPr/>
          <w:p>
            <w:pPr>
              <w:pStyle w:val="Compact"/>
              <w:jc w:val="left"/>
            </w:pPr>
            <w:r>
              <w:t xml:space="preserve">Relocation &amp; Settlement Assistance (Frankfurt, Germany — housing, registration, language support)</w:t>
            </w:r>
          </w:p>
        </w:tc>
        <w:tc>
          <w:tcPr/>
          <w:p>
            <w:pPr>
              <w:pStyle w:val="Compact"/>
              <w:jc w:val="left"/>
            </w:pPr>
            <w:r>
              <w:t xml:space="preserve">4,500.00</w:t>
            </w:r>
          </w:p>
        </w:tc>
      </w:tr>
      <w:tr>
        <w:tc>
          <w:tcPr/>
          <w:p>
            <w:pPr>
              <w:pStyle w:val="Compact"/>
              <w:jc w:val="left"/>
            </w:pPr>
            <w:r>
              <w:t xml:space="preserve">3.5</w:t>
            </w:r>
          </w:p>
        </w:tc>
        <w:tc>
          <w:tcPr/>
          <w:p>
            <w:pPr>
              <w:pStyle w:val="Compact"/>
              <w:jc w:val="left"/>
            </w:pPr>
            <w:r>
              <w:t xml:space="preserve">First-Year Academic Onboarding &amp; Mentorship Programme</w:t>
            </w:r>
          </w:p>
        </w:tc>
        <w:tc>
          <w:tcPr/>
          <w:p>
            <w:pPr>
              <w:pStyle w:val="Compact"/>
              <w:jc w:val="left"/>
            </w:pPr>
            <w:r>
              <w:t xml:space="preserve">5,000.00</w:t>
            </w:r>
          </w:p>
        </w:tc>
      </w:tr>
      <w:tr>
        <w:tc>
          <w:tcPr/>
          <w:p>
            <w:pPr>
              <w:pStyle w:val="Compact"/>
              <w:jc w:val="left"/>
            </w:pPr>
            <w:r>
              <w:t xml:space="preserve">3.6</w:t>
            </w:r>
          </w:p>
        </w:tc>
        <w:tc>
          <w:tcPr/>
          <w:p>
            <w:pPr>
              <w:pStyle w:val="Compact"/>
              <w:jc w:val="left"/>
            </w:pPr>
            <w:r>
              <w:t xml:space="preserve">Research Start-up Grant Administration &amp; Compliance</w:t>
            </w:r>
          </w:p>
        </w:tc>
        <w:tc>
          <w:tcPr/>
          <w:p>
            <w:pPr>
              <w:pStyle w:val="Compact"/>
              <w:jc w:val="left"/>
            </w:pPr>
            <w:r>
              <w:t xml:space="preserve">3,000.00</w:t>
            </w:r>
          </w:p>
        </w:tc>
      </w:tr>
      <w:tr>
        <w:tc>
          <w:tcPr/>
          <w:p>
            <w:pPr>
              <w:pStyle w:val="Compact"/>
              <w:jc w:val="left"/>
            </w:pPr>
            <w:r>
              <w:t xml:space="preserve">3.7</w:t>
            </w:r>
          </w:p>
        </w:tc>
        <w:tc>
          <w:tcPr/>
          <w:p>
            <w:pPr>
              <w:pStyle w:val="Compact"/>
              <w:jc w:val="left"/>
            </w:pPr>
            <w:r>
              <w:t xml:space="preserve">Annual Professional Development &amp; Conference Subsidy (Germany Frankfurt academic network)</w:t>
            </w:r>
          </w:p>
        </w:tc>
        <w:tc>
          <w:tcPr/>
          <w:p>
            <w:pPr>
              <w:pStyle w:val="Compact"/>
              <w:jc w:val="left"/>
            </w:pPr>
            <w:r>
              <w:t xml:space="preserve">2,000.00</w:t>
            </w:r>
          </w:p>
        </w:tc>
      </w:tr>
      <w:tr>
        <w:tc>
          <w:tcPr/>
          <w:p>
            <w:pPr>
              <w:pStyle w:val="Compact"/>
              <w:jc w:val="left"/>
            </w:pPr>
            <w:r>
              <w:t xml:space="preserve">3.8</w:t>
            </w:r>
          </w:p>
        </w:tc>
        <w:tc>
          <w:tcPr/>
          <w:p>
            <w:pPr>
              <w:pStyle w:val="Compact"/>
              <w:jc w:val="left"/>
            </w:pPr>
            <w:r>
              <w:t xml:space="preserve">Administrative &amp; Coordination Overhead (10%)</w:t>
            </w:r>
          </w:p>
        </w:tc>
        <w:tc>
          <w:tcPr/>
          <w:p>
            <w:pPr>
              <w:pStyle w:val="Compact"/>
              <w:jc w:val="left"/>
            </w:pPr>
            <w:r>
              <w:t xml:space="preserve">3,300.00</w:t>
            </w:r>
          </w:p>
        </w:tc>
      </w:tr>
      <w:tr>
        <w:tc>
          <w:tcPr>
            <w:gridSpan w:val="2"/>
          </w:tcPr>
          <w:p>
            <w:pPr>
              <w:pStyle w:val="Compact"/>
              <w:jc w:val="left"/>
            </w:pPr>
            <w:r>
              <w:t xml:space="preserve">Subtotal (excl. VAT)</w:t>
            </w:r>
          </w:p>
        </w:tc>
        <w:tc>
          <w:tcPr/>
          <w:p>
            <w:pPr>
              <w:pStyle w:val="Compact"/>
              <w:jc w:val="left"/>
            </w:pPr>
            <w:r>
              <w:t xml:space="preserve">36,300.00</w:t>
            </w:r>
          </w:p>
        </w:tc>
      </w:tr>
      <w:tr>
        <w:tc>
          <w:tcPr>
            <w:gridSpan w:val="2"/>
          </w:tcPr>
          <w:p>
            <w:pPr>
              <w:pStyle w:val="Compact"/>
              <w:jc w:val="left"/>
            </w:pPr>
            <w:r>
              <w:t xml:space="preserve">VAT (19% — German Standard Rate)</w:t>
            </w:r>
          </w:p>
        </w:tc>
        <w:tc>
          <w:tcPr/>
          <w:p>
            <w:pPr>
              <w:pStyle w:val="Compact"/>
              <w:jc w:val="left"/>
            </w:pPr>
            <w:r>
              <w:t xml:space="preserve">6,897.00</w:t>
            </w:r>
          </w:p>
        </w:tc>
      </w:tr>
      <w:tr>
        <w:tc>
          <w:tcPr>
            <w:gridSpan w:val="2"/>
          </w:tcPr>
          <w:p>
            <w:pPr>
              <w:pStyle w:val="Compact"/>
              <w:jc w:val="left"/>
            </w:pPr>
            <w:r>
              <w:t xml:space="preserve">Total Quotation Estimate (incl. VAT)</w:t>
            </w:r>
          </w:p>
        </w:tc>
        <w:tc>
          <w:tcPr/>
          <w:p>
            <w:pPr>
              <w:pStyle w:val="Compact"/>
              <w:jc w:val="left"/>
            </w:pPr>
            <w:r>
              <w:t xml:space="preserve">43,197.00</w:t>
            </w:r>
          </w:p>
        </w:tc>
      </w:tr>
    </w:tbl>
    <w:bookmarkEnd w:id="23"/>
    <w:bookmarkStart w:id="24" w:name="terms-and-conditions"/>
    <w:p>
      <w:pPr>
        <w:pStyle w:val="Heading2"/>
      </w:pPr>
      <w:r>
        <w:t xml:space="preserve">4. Terms and Conditions</w:t>
      </w:r>
    </w:p>
    <w:p>
      <w:pPr>
        <w:pStyle w:val="FirstParagraph"/>
      </w:pPr>
      <w:r>
        <w:t xml:space="preserve">This Quotation Estimate is valid for a period of ninety (90) calendar days from the date of issue. All payments shall be processed via bank transfer to the account of Academic Recruitment &amp; Consulting Services GmbH, Frankfurt am Main, Germany. Payment terms are net thirty (30) days from the date of invoice issuance.</w:t>
      </w:r>
    </w:p>
    <w:p>
      <w:pPr>
        <w:pStyle w:val="BodyText"/>
      </w:pPr>
      <w:r>
        <w:t xml:space="preserve">The University Lecturer engagement described herein is governed by the collective agreement for university employees in Germany (TV-L / TV-H) and the applicable provisions of the Hessian Higher Education Act. Any disputes arising from this Quotation Estimate shall be subject to the exclusive jurisdiction of the competent courts in Frankfurt am Main, Germany.</w:t>
      </w:r>
    </w:p>
    <w:p>
      <w:pPr>
        <w:pStyle w:val="BodyText"/>
      </w:pPr>
      <w:r>
        <w:t xml:space="preserve">Should the University Lecturer position remain unfilled beyond the validity period of this Quotation Estimate, all fees shall be subject to renegotiation based on prevailing market conditions in the Germany Frankfurt academic labour market.</w:t>
      </w:r>
    </w:p>
    <w:p>
      <w:pPr>
        <w:pStyle w:val="BodyText"/>
      </w:pPr>
      <w:r>
        <w:rPr>
          <w:bCs/>
          <w:b/>
        </w:rPr>
        <w:t xml:space="preserve">Note:</w:t>
      </w:r>
      <w:r>
        <w:t xml:space="preserve"> </w:t>
      </w:r>
      <w:r>
        <w:t xml:space="preserve">This Quotation Estimate does not include the University Lecturer's base salary, which is determined separately by the host institution in accordance with the applicable pay scale (Entgeltgruppe E13/E14 TV-L) and the specific terms of the appointment contract. All figures are exclusive of any additional research grants, teaching load supplements, or performance-based bonuses that may be negotiated independently.</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of the institution in Germany Frankfurt acknowledges receipt of this Quotation Estimate and confirms acceptance of the terms, conditions, and financial obligations outlined herein for the engagement of the University Lecturer position.</w:t>
      </w:r>
    </w:p>
    <w:p>
      <w:pPr>
        <w:pStyle w:val="BodyText"/>
      </w:pPr>
      <w:r>
        <w:rPr>
          <w:bCs/>
          <w:b/>
        </w:rPr>
        <w:t xml:space="preserve">For the Institution (Germany Frankfurt):</w:t>
      </w:r>
    </w:p>
    <w:p>
      <w:pPr>
        <w:pStyle w:val="BodyText"/>
      </w:pPr>
      <w:r>
        <w:t xml:space="preserve">Name / Title / Signature / Date</w:t>
      </w:r>
    </w:p>
    <w:p>
      <w:pPr>
        <w:pStyle w:val="BodyText"/>
      </w:pPr>
      <w:r>
        <w:rPr>
          <w:bCs/>
          <w:b/>
        </w:rPr>
        <w:t xml:space="preserve">For Academic Recruitment &amp; Consulting Services GmbH:</w:t>
      </w:r>
    </w:p>
    <w:p>
      <w:pPr>
        <w:pStyle w:val="BodyText"/>
      </w:pPr>
      <w:r>
        <w:t xml:space="preserve">Name / Title / Signature / Date</w:t>
      </w:r>
    </w:p>
    <w:p>
      <w:pPr>
        <w:pStyle w:val="BodyText"/>
      </w:pPr>
      <w:r>
        <w:t xml:space="preserve">Quotation Estimate Ref: QE-2025-FL-0847  |  University Lecturer — Germany Frankfurt  |  Page 1 of 1</w:t>
      </w:r>
    </w:p>
    <w:p>
      <w:pPr>
        <w:pStyle w:val="BodyText"/>
      </w:pPr>
      <w:r>
        <w:t xml:space="preserve">This document is confidential and intended solely for the named recipient. Unauthorised reproduction or distribution is prohibited under German copyright law (Urheberrechtsgesetz).</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Germany Frankfurt</dc:title>
  <dc:creator/>
  <dc:language>en</dc:language>
  <cp:keywords/>
  <dcterms:created xsi:type="dcterms:W3CDTF">2026-10-10T03:46:55Z</dcterms:created>
  <dcterms:modified xsi:type="dcterms:W3CDTF">2026-10-10T03:46:55Z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