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Germany</w:t>
      </w:r>
      <w:r>
        <w:t xml:space="preserve"> </w:t>
      </w:r>
      <w:r>
        <w:t xml:space="preserve">Munich</w:t>
      </w:r>
    </w:p>
    <w:bookmarkStart w:id="21" w:name="quotation-estimate"/>
    <w:p>
      <w:pPr>
        <w:pStyle w:val="Heading1"/>
      </w:pPr>
      <w:r>
        <w:t xml:space="preserve">QUOTATION ESTIMATE</w:t>
      </w:r>
    </w:p>
    <w:bookmarkStart w:id="20" w:name="X3baf7bbfd642cc47d2c77716e23db8d97d4a86a"/>
    <w:p>
      <w:pPr>
        <w:pStyle w:val="Heading2"/>
      </w:pPr>
      <w:r>
        <w:t xml:space="preserve">University Lecturer – Academic Services Engagement</w:t>
      </w:r>
    </w:p>
    <w:p>
      <w:pPr>
        <w:pStyle w:val="FirstParagraph"/>
      </w:pPr>
      <w:r>
        <w:t xml:space="preserve">Reference No. QTE-2025-MUC-0472  |  Valid Until: 30 June 2025</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Faculty of Engineering and Natural Sciences, Technical University of Munich (TUM), Arcisstraße 21, 80333 Munich, Germany</w:t>
            </w:r>
          </w:p>
        </w:tc>
      </w:tr>
      <w:tr>
        <w:tc>
          <w:tcPr/>
          <w:p>
            <w:pPr>
              <w:pStyle w:val="Compact"/>
              <w:jc w:val="left"/>
            </w:pPr>
            <w:r>
              <w:t xml:space="preserve">Prepared By:</w:t>
            </w:r>
          </w:p>
        </w:tc>
        <w:tc>
          <w:tcPr/>
          <w:p>
            <w:pPr>
              <w:pStyle w:val="Compact"/>
              <w:jc w:val="left"/>
            </w:pPr>
            <w:r>
              <w:t xml:space="preserve">Dr. Helena M. Brandt, Independent Academic Consultant &amp; University Lecturer, Munich, Germany</w:t>
            </w:r>
          </w:p>
        </w:tc>
      </w:tr>
      <w:tr>
        <w:tc>
          <w:tcPr/>
          <w:p>
            <w:pPr>
              <w:pStyle w:val="Compact"/>
              <w:jc w:val="left"/>
            </w:pPr>
            <w:r>
              <w:t xml:space="preserve">Date of Issue:</w:t>
            </w:r>
          </w:p>
        </w:tc>
        <w:tc>
          <w:tcPr/>
          <w:p>
            <w:pPr>
              <w:pStyle w:val="Compact"/>
              <w:jc w:val="left"/>
            </w:pPr>
            <w:r>
              <w:t xml:space="preserve">15 January 2025</w:t>
            </w:r>
          </w:p>
        </w:tc>
      </w:tr>
      <w:tr>
        <w:tc>
          <w:tcPr/>
          <w:p>
            <w:pPr>
              <w:pStyle w:val="Compact"/>
              <w:jc w:val="left"/>
            </w:pPr>
            <w:r>
              <w:t xml:space="preserve">Position Title:</w:t>
            </w:r>
          </w:p>
        </w:tc>
        <w:tc>
          <w:tcPr/>
          <w:p>
            <w:pPr>
              <w:pStyle w:val="Compact"/>
              <w:jc w:val="left"/>
            </w:pPr>
            <w:r>
              <w:t xml:space="preserve">University Lecturer – Department of Applied Physics and Computational Modelling</w:t>
            </w:r>
          </w:p>
        </w:tc>
      </w:tr>
      <w:tr>
        <w:tc>
          <w:tcPr/>
          <w:p>
            <w:pPr>
              <w:pStyle w:val="Compact"/>
              <w:jc w:val="left"/>
            </w:pPr>
            <w:r>
              <w:t xml:space="preserve">Location of Service:</w:t>
            </w:r>
          </w:p>
        </w:tc>
        <w:tc>
          <w:tcPr/>
          <w:p>
            <w:pPr>
              <w:pStyle w:val="Compact"/>
              <w:jc w:val="left"/>
            </w:pPr>
            <w:r>
              <w:t xml:space="preserve">Munich, Bavaria, Germany (on-campus and hybrid delivery)</w:t>
            </w:r>
          </w:p>
        </w:tc>
      </w:tr>
      <w:tr>
        <w:tc>
          <w:tcPr/>
          <w:p>
            <w:pPr>
              <w:pStyle w:val="Compact"/>
              <w:jc w:val="left"/>
            </w:pPr>
            <w:r>
              <w:t xml:space="preserve">Contract Period:</w:t>
            </w:r>
          </w:p>
        </w:tc>
        <w:tc>
          <w:tcPr/>
          <w:p>
            <w:pPr>
              <w:pStyle w:val="Compact"/>
              <w:jc w:val="left"/>
            </w:pPr>
            <w:r>
              <w:t xml:space="preserve">1 October 2025 – 30 September 2026 (one academic year, renewable)</w:t>
            </w:r>
          </w:p>
        </w:tc>
      </w:tr>
      <w:tr>
        <w:tc>
          <w:tcPr/>
          <w:p>
            <w:pPr>
              <w:pStyle w:val="Compact"/>
              <w:jc w:val="left"/>
            </w:pPr>
            <w:r>
              <w:t xml:space="preserve">Currency:</w:t>
            </w:r>
          </w:p>
        </w:tc>
        <w:tc>
          <w:tcPr/>
          <w:p>
            <w:pPr>
              <w:pStyle w:val="Compact"/>
              <w:jc w:val="left"/>
            </w:pPr>
            <w:r>
              <w:t xml:space="preserve">Euro (EUR)</w:t>
            </w:r>
          </w:p>
        </w:tc>
      </w:tr>
    </w:tbl>
    <w:bookmarkStart w:id="22" w:name="purpose-of-this-quotation-estimate"/>
    <w:p>
      <w:pPr>
        <w:pStyle w:val="Heading3"/>
      </w:pPr>
      <w:r>
        <w:t xml:space="preserve">1. Purpose of This Quotation Estimate</w:t>
      </w:r>
    </w:p>
    <w:p>
      <w:pPr>
        <w:pStyle w:val="FirstParagraph"/>
      </w:pPr>
      <w:r>
        <w:t xml:space="preserve">This Quotation Estimate is issued in response to the formal request for proposal (RFP/2025/ENG/118) submitted by the Technical University of Munich for the engagement of a qualified University Lecturer to deliver advanced coursework, supervise research projects, and contribute to curriculum development within the Department of Applied Physics and Computational Modelling. The scope, deliverables, and financial terms outlined in this document constitute a binding Quotation Estimate for the University Lecturer role as specified under German higher-education employment regulations (TV-L / TV-H) and the specific institutional policies of the University in Munich, Germany.</w:t>
      </w:r>
    </w:p>
    <w:bookmarkEnd w:id="22"/>
    <w:bookmarkStart w:id="23" w:name="Xc4f803d1f5a67e9d3e7f28f83a5cf8014196990"/>
    <w:p>
      <w:pPr>
        <w:pStyle w:val="Heading3"/>
      </w:pPr>
      <w:r>
        <w:t xml:space="preserve">2. Scope of Services – University Lecturer Responsibilities</w:t>
      </w:r>
    </w:p>
    <w:p>
      <w:pPr>
        <w:pStyle w:val="FirstParagraph"/>
      </w:pPr>
      <w:r>
        <w:t xml:space="preserve">The University Lecturer engaged under this Quotation Estimate shall perform the following duties during the contract period in Munich, Germany:</w:t>
      </w:r>
    </w:p>
    <w:p>
      <w:pPr>
        <w:numPr>
          <w:ilvl w:val="0"/>
          <w:numId w:val="1001"/>
        </w:numPr>
        <w:pStyle w:val="Compact"/>
      </w:pPr>
      <w:r>
        <w:t xml:space="preserve">Delivery of a minimum of 120 contact hours per academic year across two core modules: "Advanced Quantum Field Theory" (60 hours) and "Computational Methods in Condensed Matter Physics" (60 hours), conducted in English and German as required by the student body in Munich.</w:t>
      </w:r>
    </w:p>
    <w:p>
      <w:pPr>
        <w:numPr>
          <w:ilvl w:val="0"/>
          <w:numId w:val="1001"/>
        </w:numPr>
        <w:pStyle w:val="Compact"/>
      </w:pPr>
      <w:r>
        <w:t xml:space="preserve">Supervision of up to eight (8) master's theses and four (4) doctoral dissertations, including weekly one-on-one advisory sessions held at the University campus in Garching bei Munich or via approved virtual platforms.</w:t>
      </w:r>
    </w:p>
    <w:p>
      <w:pPr>
        <w:numPr>
          <w:ilvl w:val="0"/>
          <w:numId w:val="1001"/>
        </w:numPr>
        <w:pStyle w:val="Compact"/>
      </w:pPr>
      <w:r>
        <w:t xml:space="preserve">Participation in at least three (3) departmental seminars per semester, contributing to the academic discourse and mentoring junior faculty members.</w:t>
      </w:r>
    </w:p>
    <w:p>
      <w:pPr>
        <w:numPr>
          <w:ilvl w:val="0"/>
          <w:numId w:val="1001"/>
        </w:numPr>
        <w:pStyle w:val="Compact"/>
      </w:pPr>
      <w:r>
        <w:t xml:space="preserve">Curriculum review and development: revision of existing lecture materials, creation of new problem sets, and integration of current research findings from the University Lecturer's ongoing publications into the syllabus.</w:t>
      </w:r>
    </w:p>
    <w:p>
      <w:pPr>
        <w:numPr>
          <w:ilvl w:val="0"/>
          <w:numId w:val="1001"/>
        </w:numPr>
        <w:pStyle w:val="Compact"/>
      </w:pPr>
      <w:r>
        <w:t xml:space="preserve">Administrative duties including examination invigilation, grading, and participation in the faculty's annual accreditation review process mandated by the Bavarian State Ministry of Science and Art (Bayerisches Staatsministerium für Wissenschaft und Kunst).</w:t>
      </w:r>
    </w:p>
    <w:p>
      <w:pPr>
        <w:numPr>
          <w:ilvl w:val="0"/>
          <w:numId w:val="1001"/>
        </w:numPr>
        <w:pStyle w:val="Compact"/>
      </w:pPr>
      <w:r>
        <w:t xml:space="preserve">Representation of the University at a minimum of two (2) international academic conferences per year, with travel expenses reimbursable as detailed in Section 4.</w:t>
      </w:r>
    </w:p>
    <w:bookmarkEnd w:id="23"/>
    <w:bookmarkStart w:id="24" w:name="qualifications-and-prerequisites"/>
    <w:p>
      <w:pPr>
        <w:pStyle w:val="Heading3"/>
      </w:pPr>
      <w:r>
        <w:t xml:space="preserve">3. Qualifications and Prerequisites</w:t>
      </w:r>
    </w:p>
    <w:p>
      <w:pPr>
        <w:pStyle w:val="FirstParagraph"/>
      </w:pPr>
      <w:r>
        <w:t xml:space="preserve">The University Lecturer must hold a completed doctoral degree (Dr. rer. nat. or equivalent) in Physics or a closely related discipline, a minimum of five (5) years of post-doctoral research experience, and a proven record of peer-reviewed publications in Q1/Q2 journals. Prior teaching experience at a recognised university in Germany or an equivalent European institution is strongly preferred. The candidate must demonstrate proficiency in both English and German (minimum C1 level) to effectively serve the diverse student population in Munich, Germany. Compliance with the German Higher Education Act (Hochschulrahmengesetz) and institutional data-protection obligations under the GDPR (DSGVO) is mandatory.</w:t>
      </w:r>
    </w:p>
    <w:bookmarkEnd w:id="24"/>
    <w:bookmarkStart w:id="25" w:name="X4e6c583c34616b2fc8ea47c5d97ce11dbe9ebd3"/>
    <w:p>
      <w:pPr>
        <w:pStyle w:val="Heading3"/>
      </w:pPr>
      <w:r>
        <w:t xml:space="preserve">4. Financial Breakdown – Quotation Estimate Fee Schedule</w:t>
      </w:r>
    </w:p>
    <w:p>
      <w:pPr>
        <w:pStyle w:val="FirstParagraph"/>
      </w:pPr>
      <w:r>
        <w:t xml:space="preserve">The following Quotation Estimate details all costs associated with the University Lecturer engagement. All figures are stated in Euros (EUR) and are exclusive of applicable German value-added tax (Mehrwertsteuer, 19%), which shall be added where legally required.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4.1</w:t>
            </w:r>
          </w:p>
        </w:tc>
        <w:tc>
          <w:tcPr/>
          <w:p>
            <w:pPr>
              <w:pStyle w:val="Compact"/>
              <w:jc w:val="left"/>
            </w:pPr>
            <w:r>
              <w:t xml:space="preserve">Base annual remuneration – University Lecturer (TV-L E13, 100% position)</w:t>
            </w:r>
          </w:p>
        </w:tc>
        <w:tc>
          <w:tcPr/>
          <w:p>
            <w:pPr>
              <w:pStyle w:val="Compact"/>
              <w:jc w:val="left"/>
            </w:pPr>
            <w:r>
              <w:t xml:space="preserve">Year</w:t>
            </w:r>
          </w:p>
        </w:tc>
        <w:tc>
          <w:tcPr/>
          <w:p>
            <w:pPr>
              <w:pStyle w:val="Compact"/>
              <w:jc w:val="left"/>
            </w:pPr>
            <w:r>
              <w:t xml:space="preserve">72,480.00</w:t>
            </w:r>
          </w:p>
        </w:tc>
        <w:tc>
          <w:tcPr/>
          <w:p>
            <w:pPr>
              <w:pStyle w:val="Compact"/>
              <w:jc w:val="left"/>
            </w:pPr>
            <w:r>
              <w:t xml:space="preserve">1</w:t>
            </w:r>
          </w:p>
        </w:tc>
        <w:tc>
          <w:tcPr/>
          <w:p>
            <w:pPr>
              <w:pStyle w:val="Compact"/>
              <w:jc w:val="left"/>
            </w:pPr>
            <w:r>
              <w:t xml:space="preserve">72,480.00</w:t>
            </w:r>
          </w:p>
        </w:tc>
      </w:tr>
      <w:tr>
        <w:tc>
          <w:tcPr/>
          <w:p>
            <w:pPr>
              <w:pStyle w:val="Compact"/>
              <w:jc w:val="left"/>
            </w:pPr>
            <w:r>
              <w:t xml:space="preserve">4.2</w:t>
            </w:r>
          </w:p>
        </w:tc>
        <w:tc>
          <w:tcPr/>
          <w:p>
            <w:pPr>
              <w:pStyle w:val="Compact"/>
              <w:jc w:val="left"/>
            </w:pPr>
            <w:r>
              <w:t xml:space="preserve">Research supervision allowance (8 MSc + 4 PhD theses)</w:t>
            </w:r>
          </w:p>
        </w:tc>
        <w:tc>
          <w:tcPr/>
          <w:p>
            <w:pPr>
              <w:pStyle w:val="Compact"/>
              <w:jc w:val="left"/>
            </w:pPr>
            <w:r>
              <w:t xml:space="preserve">Year</w:t>
            </w:r>
          </w:p>
        </w:tc>
        <w:tc>
          <w:tcPr/>
          <w:p>
            <w:pPr>
              <w:pStyle w:val="Compact"/>
              <w:jc w:val="left"/>
            </w:pPr>
            <w:r>
              <w:t xml:space="preserve">6,200.00</w:t>
            </w:r>
          </w:p>
        </w:tc>
        <w:tc>
          <w:tcPr/>
          <w:p>
            <w:pPr>
              <w:pStyle w:val="Compact"/>
              <w:jc w:val="left"/>
            </w:pPr>
            <w:r>
              <w:t xml:space="preserve">1</w:t>
            </w:r>
          </w:p>
        </w:tc>
        <w:tc>
          <w:tcPr/>
          <w:p>
            <w:pPr>
              <w:pStyle w:val="Compact"/>
              <w:jc w:val="left"/>
            </w:pPr>
            <w:r>
              <w:t xml:space="preserve">6,200.00</w:t>
            </w:r>
          </w:p>
        </w:tc>
      </w:tr>
      <w:tr>
        <w:tc>
          <w:tcPr/>
          <w:p>
            <w:pPr>
              <w:pStyle w:val="Compact"/>
              <w:jc w:val="left"/>
            </w:pPr>
            <w:r>
              <w:t xml:space="preserve">4.3</w:t>
            </w:r>
          </w:p>
        </w:tc>
        <w:tc>
          <w:tcPr/>
          <w:p>
            <w:pPr>
              <w:pStyle w:val="Compact"/>
              <w:jc w:val="left"/>
            </w:pPr>
            <w:r>
              <w:t xml:space="preserve">Curriculum development and material preparation</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4.4</w:t>
            </w:r>
          </w:p>
        </w:tc>
        <w:tc>
          <w:tcPr/>
          <w:p>
            <w:pPr>
              <w:pStyle w:val="Compact"/>
              <w:jc w:val="left"/>
            </w:pPr>
            <w:r>
              <w:t xml:space="preserve">Conference travel and accommodation (2 international conferences)</w:t>
            </w:r>
          </w:p>
        </w:tc>
        <w:tc>
          <w:tcPr/>
          <w:p>
            <w:pPr>
              <w:pStyle w:val="Compact"/>
              <w:jc w:val="left"/>
            </w:pPr>
            <w:r>
              <w:t xml:space="preserve">Per conference</w:t>
            </w:r>
          </w:p>
        </w:tc>
        <w:tc>
          <w:tcPr/>
          <w:p>
            <w:pPr>
              <w:pStyle w:val="Compact"/>
              <w:jc w:val="left"/>
            </w:pPr>
            <w:r>
              <w:t xml:space="preserve">2,800.00</w:t>
            </w:r>
          </w:p>
        </w:tc>
        <w:tc>
          <w:tcPr/>
          <w:p>
            <w:pPr>
              <w:pStyle w:val="Compact"/>
              <w:jc w:val="left"/>
            </w:pPr>
            <w:r>
              <w:t xml:space="preserve">2</w:t>
            </w:r>
          </w:p>
        </w:tc>
        <w:tc>
          <w:tcPr/>
          <w:p>
            <w:pPr>
              <w:pStyle w:val="Compact"/>
              <w:jc w:val="left"/>
            </w:pPr>
            <w:r>
              <w:t xml:space="preserve">5,600.00</w:t>
            </w:r>
          </w:p>
        </w:tc>
      </w:tr>
      <w:tr>
        <w:tc>
          <w:tcPr/>
          <w:p>
            <w:pPr>
              <w:pStyle w:val="Compact"/>
              <w:jc w:val="left"/>
            </w:pPr>
            <w:r>
              <w:t xml:space="preserve">4.5</w:t>
            </w:r>
          </w:p>
        </w:tc>
        <w:tc>
          <w:tcPr/>
          <w:p>
            <w:pPr>
              <w:pStyle w:val="Compact"/>
              <w:jc w:val="left"/>
            </w:pPr>
            <w:r>
              <w:t xml:space="preserve">Examination and invigilation duties (4 exam periods)</w:t>
            </w:r>
          </w:p>
        </w:tc>
        <w:tc>
          <w:tcPr/>
          <w:p>
            <w:pPr>
              <w:pStyle w:val="Compact"/>
              <w:jc w:val="left"/>
            </w:pPr>
            <w:r>
              <w:t xml:space="preserve">Per period</w:t>
            </w:r>
          </w:p>
        </w:tc>
        <w:tc>
          <w:tcPr/>
          <w:p>
            <w:pPr>
              <w:pStyle w:val="Compact"/>
              <w:jc w:val="left"/>
            </w:pPr>
            <w:r>
              <w:t xml:space="preserve">450.00</w:t>
            </w:r>
          </w:p>
        </w:tc>
        <w:tc>
          <w:tcPr/>
          <w:p>
            <w:pPr>
              <w:pStyle w:val="Compact"/>
              <w:jc w:val="left"/>
            </w:pPr>
            <w:r>
              <w:t xml:space="preserve">4</w:t>
            </w:r>
          </w:p>
        </w:tc>
        <w:tc>
          <w:tcPr/>
          <w:p>
            <w:pPr>
              <w:pStyle w:val="Compact"/>
              <w:jc w:val="left"/>
            </w:pPr>
            <w:r>
              <w:t xml:space="preserve">1,800.00</w:t>
            </w:r>
          </w:p>
        </w:tc>
      </w:tr>
      <w:tr>
        <w:tc>
          <w:tcPr/>
          <w:p>
            <w:pPr>
              <w:pStyle w:val="Compact"/>
              <w:jc w:val="left"/>
            </w:pPr>
            <w:r>
              <w:t xml:space="preserve">4.6</w:t>
            </w:r>
          </w:p>
        </w:tc>
        <w:tc>
          <w:tcPr/>
          <w:p>
            <w:pPr>
              <w:pStyle w:val="Compact"/>
              <w:jc w:val="left"/>
            </w:pPr>
            <w:r>
              <w:t xml:space="preserve">Onboarding, orientation, and institutional compliance training (Munich campus)</w:t>
            </w:r>
          </w:p>
        </w:tc>
        <w:tc>
          <w:tcPr/>
          <w:p>
            <w:pPr>
              <w:pStyle w:val="Compact"/>
              <w:jc w:val="left"/>
            </w:pPr>
            <w:r>
              <w:t xml:space="preserve">Lump sum</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4.7</w:t>
            </w:r>
          </w:p>
        </w:tc>
        <w:tc>
          <w:tcPr/>
          <w:p>
            <w:pPr>
              <w:pStyle w:val="Compact"/>
              <w:jc w:val="left"/>
            </w:pPr>
            <w:r>
              <w:t xml:space="preserve">Annual professional development and sabbatical preparation stipend</w:t>
            </w:r>
          </w:p>
        </w:tc>
        <w:tc>
          <w:tcPr/>
          <w:p>
            <w:pPr>
              <w:pStyle w:val="Compact"/>
              <w:jc w:val="left"/>
            </w:pPr>
            <w:r>
              <w:t xml:space="preserve">Year</w:t>
            </w:r>
          </w:p>
        </w:tc>
        <w:tc>
          <w:tcPr/>
          <w:p>
            <w:pPr>
              <w:pStyle w:val="Compact"/>
              <w:jc w:val="left"/>
            </w:pPr>
            <w:r>
              <w:t xml:space="preserve">2,000.00</w:t>
            </w:r>
          </w:p>
        </w:tc>
        <w:tc>
          <w:tcPr/>
          <w:p>
            <w:pPr>
              <w:pStyle w:val="Compact"/>
              <w:jc w:val="left"/>
            </w:pPr>
            <w:r>
              <w:t xml:space="preserve">1</w:t>
            </w:r>
          </w:p>
        </w:tc>
        <w:tc>
          <w:tcPr/>
          <w:p>
            <w:pPr>
              <w:pStyle w:val="Compact"/>
              <w:jc w:val="left"/>
            </w:pPr>
            <w:r>
              <w:t xml:space="preserve">2,000.00</w:t>
            </w:r>
          </w:p>
        </w:tc>
      </w:tr>
      <w:tr>
        <w:tc>
          <w:tcPr>
            <w:gridSpan w:val="5"/>
          </w:tcPr>
          <w:p>
            <w:pPr>
              <w:pStyle w:val="Compact"/>
              <w:jc w:val="left"/>
            </w:pPr>
            <w:r>
              <w:t xml:space="preserve">Subtotal (before VAT)</w:t>
            </w:r>
          </w:p>
        </w:tc>
        <w:tc>
          <w:tcPr/>
          <w:p>
            <w:pPr>
              <w:pStyle w:val="Compact"/>
              <w:jc w:val="left"/>
            </w:pPr>
            <w:r>
              <w:t xml:space="preserve">92,780.00</w:t>
            </w:r>
          </w:p>
        </w:tc>
      </w:tr>
      <w:tr>
        <w:tc>
          <w:tcPr>
            <w:gridSpan w:val="5"/>
          </w:tcPr>
          <w:p>
            <w:pPr>
              <w:pStyle w:val="Compact"/>
              <w:jc w:val="left"/>
            </w:pPr>
            <w:r>
              <w:t xml:space="preserve">VAT (19% – where applicable)</w:t>
            </w:r>
          </w:p>
        </w:tc>
        <w:tc>
          <w:tcPr/>
          <w:p>
            <w:pPr>
              <w:pStyle w:val="Compact"/>
              <w:jc w:val="left"/>
            </w:pPr>
            <w:r>
              <w:t xml:space="preserve">17,628.20</w:t>
            </w:r>
          </w:p>
        </w:tc>
      </w:tr>
      <w:tr>
        <w:tc>
          <w:tcPr>
            <w:gridSpan w:val="5"/>
          </w:tcPr>
          <w:p>
            <w:pPr>
              <w:pStyle w:val="Compact"/>
              <w:jc w:val="left"/>
            </w:pPr>
            <w:r>
              <w:t xml:space="preserve">TOTAL ESTIMATED COST (Quotation Estimate)</w:t>
            </w:r>
          </w:p>
        </w:tc>
        <w:tc>
          <w:tcPr/>
          <w:p>
            <w:pPr>
              <w:pStyle w:val="Compact"/>
              <w:jc w:val="left"/>
            </w:pPr>
            <w:r>
              <w:t xml:space="preserve">110,408.20</w:t>
            </w:r>
          </w:p>
        </w:tc>
      </w:tr>
    </w:tbl>
    <w:bookmarkEnd w:id="25"/>
    <w:bookmarkStart w:id="26" w:name="payment-terms-and-schedule"/>
    <w:p>
      <w:pPr>
        <w:pStyle w:val="Heading3"/>
      </w:pPr>
      <w:r>
        <w:t xml:space="preserve">5. Payment Terms and Schedule</w:t>
      </w:r>
    </w:p>
    <w:p>
      <w:pPr>
        <w:pStyle w:val="FirstParagraph"/>
      </w:pPr>
      <w:r>
        <w:t xml:space="preserve">Payment for the University Lecturer services shall be processed in monthly instalments via bank transfer to the account designated by the University Lecturer, in accordance with the standard payment cycle of the Technical University of Munich. The base remuneration (Item 4.1) shall be disbursed in twelve equal monthly payments. Lump-sum items (4.3, 4.6) shall be payable within thirty (30) calendar days of written invoice submission. Conference travel costs (Item 4.4) shall be reimbursed upon submission of itemised receipts and a brief activity report. All payments are subject to the standard German statutory deductions for social insurance (Rentenversicherung, Krankenversicherung, Arbeitslosenversicherung) and income tax (Lohnsteuer) as governed by the relevant provisions of the German Social Security Code (Sozialgesetzbuch).</w:t>
      </w:r>
    </w:p>
    <w:bookmarkEnd w:id="26"/>
    <w:bookmarkStart w:id="27" w:name="terms-and-conditions"/>
    <w:p>
      <w:pPr>
        <w:pStyle w:val="Heading3"/>
      </w:pPr>
      <w:r>
        <w:t xml:space="preserve">6. Terms and Conditions</w:t>
      </w:r>
    </w:p>
    <w:p>
      <w:pPr>
        <w:pStyle w:val="FirstParagraph"/>
      </w:pPr>
      <w:r>
        <w:rPr>
          <w:bCs/>
          <w:b/>
        </w:rPr>
        <w:t xml:space="preserve">6.1 Validity:</w:t>
      </w:r>
      <w:r>
        <w:t xml:space="preserve"> </w:t>
      </w:r>
      <w:r>
        <w:t xml:space="preserve">This Quotation Estimate is valid for a period of ninety (90) days from the date of issue. Beyond this period, all rates and terms are subject to revision.</w:t>
      </w:r>
    </w:p>
    <w:p>
      <w:pPr>
        <w:pStyle w:val="BodyText"/>
      </w:pPr>
      <w:r>
        <w:rPr>
          <w:bCs/>
          <w:b/>
        </w:rPr>
        <w:t xml:space="preserve">6.2 Acceptance:</w:t>
      </w:r>
      <w:r>
        <w:t xml:space="preserve"> </w:t>
      </w:r>
      <w:r>
        <w:t xml:space="preserve">Acceptance of this Quotation Estimate shall be confirmed in writing by an authorised representative of the Technical University of Munich, Munich, Germany, via signed contract or formal letter of appointment.</w:t>
      </w:r>
    </w:p>
    <w:p>
      <w:pPr>
        <w:pStyle w:val="BodyText"/>
      </w:pPr>
      <w:r>
        <w:rPr>
          <w:bCs/>
          <w:b/>
        </w:rPr>
        <w:t xml:space="preserve">6.3 Termination:</w:t>
      </w:r>
      <w:r>
        <w:t xml:space="preserve"> </w:t>
      </w:r>
      <w:r>
        <w:t xml:space="preserve">Either party may terminate the engagement with a notice period of three (3) months, in compliance with the TV-L collective agreement applicable to University Lecturer positions in Germany.</w:t>
      </w:r>
    </w:p>
    <w:p>
      <w:pPr>
        <w:pStyle w:val="BodyText"/>
      </w:pPr>
      <w:r>
        <w:rPr>
          <w:bCs/>
          <w:b/>
        </w:rPr>
        <w:t xml:space="preserve">6.4 Intellectual Property:</w:t>
      </w:r>
      <w:r>
        <w:t xml:space="preserve"> </w:t>
      </w:r>
      <w:r>
        <w:t xml:space="preserve">All lecture materials, problem sets, and curriculum documents created specifically for the University during the contract period shall remain the property of the institution. The University Lecturer retains full ownership of pre-existing research and publications.</w:t>
      </w:r>
    </w:p>
    <w:p>
      <w:pPr>
        <w:pStyle w:val="BodyText"/>
      </w:pPr>
      <w:r>
        <w:rPr>
          <w:bCs/>
          <w:b/>
        </w:rPr>
        <w:t xml:space="preserve">6.5 Confidentiality and Data Protection:</w:t>
      </w:r>
      <w:r>
        <w:t xml:space="preserve"> </w:t>
      </w:r>
      <w:r>
        <w:t xml:space="preserve">The University Lecturer shall adhere to all institutional confidentiality policies and the General Data Protection Regulation (GDPR) as implemented in Germany (BDSG). Student records and unpublished research data must be handled in strict accordance with these regulations.</w:t>
      </w:r>
    </w:p>
    <w:p>
      <w:pPr>
        <w:pStyle w:val="BodyText"/>
      </w:pPr>
      <w:r>
        <w:rPr>
          <w:bCs/>
          <w:b/>
        </w:rPr>
        <w:t xml:space="preserve">6.6 Governing Law:</w:t>
      </w:r>
      <w:r>
        <w:t xml:space="preserve"> </w:t>
      </w:r>
      <w:r>
        <w:t xml:space="preserve">This Quotation Estimate and the resulting contract shall be governed by the laws of the Federal Republic of Germany. Any disputes shall be resolved by the competent courts in Munich, Bavaria.</w:t>
      </w:r>
    </w:p>
    <w:p>
      <w:pPr>
        <w:pStyle w:val="BodyText"/>
      </w:pPr>
      <w:r>
        <w:rPr>
          <w:bCs/>
          <w:b/>
        </w:rPr>
        <w:t xml:space="preserve">6.7 Force Majeure:</w:t>
      </w:r>
      <w:r>
        <w:t xml:space="preserve"> </w:t>
      </w:r>
      <w:r>
        <w:t xml:space="preserve">Neither party shall be liable for delays or non-performance resulting from events beyond reasonable control, including but not limited to public health emergencies, natural disasters, or government-mandated campus closures in Munich, Germany.</w:t>
      </w:r>
    </w:p>
    <w:bookmarkEnd w:id="27"/>
    <w:bookmarkStart w:id="28" w:name="acceptance-and-signatures"/>
    <w:p>
      <w:pPr>
        <w:pStyle w:val="Heading3"/>
      </w:pPr>
      <w:r>
        <w:t xml:space="preserve">7. Acceptance and Signatures</w:t>
      </w:r>
    </w:p>
    <w:p>
      <w:pPr>
        <w:pStyle w:val="FirstParagraph"/>
      </w:pPr>
      <w:r>
        <w:t xml:space="preserve">By signing below, both parties acknowledge and agree to the terms set forth in this Quotation Estimate for the University Lecturer engagement in Munich, Germany.</w:t>
      </w:r>
    </w:p>
    <w:p>
      <w:pPr>
        <w:pStyle w:val="BodyText"/>
      </w:pPr>
      <w:r>
        <w:rPr>
          <w:bCs/>
          <w:b/>
        </w:rPr>
        <w:t xml:space="preserve">For the Technical University of Munich</w:t>
      </w:r>
      <w:r>
        <w:br/>
      </w:r>
      <w:r>
        <w:t xml:space="preserve">Name: ______________________________</w:t>
      </w:r>
      <w:r>
        <w:br/>
      </w:r>
      <w:r>
        <w:t xml:space="preserve">Title: Dean, Faculty of Engineering</w:t>
      </w:r>
      <w:r>
        <w:br/>
      </w:r>
      <w:r>
        <w:t xml:space="preserve">Date: ______________________________</w:t>
      </w:r>
    </w:p>
    <w:p>
      <w:pPr>
        <w:pStyle w:val="BodyText"/>
      </w:pPr>
      <w:r>
        <w:rPr>
          <w:bCs/>
          <w:b/>
        </w:rPr>
        <w:t xml:space="preserve">For the University Lecturer</w:t>
      </w:r>
      <w:r>
        <w:br/>
      </w:r>
      <w:r>
        <w:t xml:space="preserve">Name: Dr. Helena M. Brandt</w:t>
      </w:r>
      <w:r>
        <w:br/>
      </w:r>
      <w:r>
        <w:t xml:space="preserve">Title: Independent Academic Consultant</w:t>
      </w:r>
      <w:r>
        <w:br/>
      </w:r>
      <w:r>
        <w:t xml:space="preserve">Date: ______________________________</w:t>
      </w:r>
    </w:p>
    <w:p>
      <w:pPr>
        <w:pStyle w:val="BodyText"/>
      </w:pPr>
      <w:r>
        <w:t xml:space="preserve">Quotation Estimate Ref. QTE-2025-MUC-0472  |  University Lecturer – Technical University of Munich  |  Munich, Germany</w:t>
      </w:r>
    </w:p>
    <w:p>
      <w:pPr>
        <w:pStyle w:val="BodyText"/>
      </w:pPr>
      <w:r>
        <w:t xml:space="preserve">This document is a formal Quotation Estimate and does not constitute a binding contract until countersigned by both parties. All references to the University Lecturer role and the location of service in Munich, Germany are integral to the scope and terms herein.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Germany Munich</dc:title>
  <dc:creator/>
  <dc:language>en</dc:language>
  <cp:keywords/>
  <dcterms:created xsi:type="dcterms:W3CDTF">2026-10-10T03:09:37Z</dcterms:created>
  <dcterms:modified xsi:type="dcterms:W3CDTF">2026-10-10T03:09:37Z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