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Engagement of a University Lecturer — India Bangalore</w:t>
      </w:r>
    </w:p>
    <w:p>
      <w:pPr>
        <w:pStyle w:val="BodyText"/>
      </w:pPr>
      <w:r>
        <w:t xml:space="preserve">Ref: QE/UBL/2025/0472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the date of issue (15 July 2025)</w:t>
            </w:r>
          </w:p>
        </w:tc>
      </w:tr>
      <w:tr>
        <w:tc>
          <w:tcPr/>
          <w:p>
            <w:pPr>
              <w:pStyle w:val="Compact"/>
              <w:jc w:val="left"/>
            </w:pPr>
            <w:r>
              <w:t xml:space="preserve">Prepared For</w:t>
            </w:r>
          </w:p>
        </w:tc>
        <w:tc>
          <w:tcPr/>
          <w:p>
            <w:pPr>
              <w:pStyle w:val="Compact"/>
              <w:jc w:val="left"/>
            </w:pPr>
            <w:r>
              <w:t xml:space="preserve">Department of Engineering Sciences, [University Name], India Bangalore</w:t>
            </w:r>
          </w:p>
        </w:tc>
      </w:tr>
      <w:tr>
        <w:tc>
          <w:tcPr/>
          <w:p>
            <w:pPr>
              <w:pStyle w:val="Compact"/>
              <w:jc w:val="left"/>
            </w:pPr>
            <w:r>
              <w:t xml:space="preserve">Prepared By</w:t>
            </w:r>
          </w:p>
        </w:tc>
        <w:tc>
          <w:tcPr/>
          <w:p>
            <w:pPr>
              <w:pStyle w:val="Compact"/>
              <w:jc w:val="left"/>
            </w:pPr>
            <w:r>
              <w:t xml:space="preserve">Academic Recruitment &amp; Consultancy Services Pvt. Ltd., Koramangala, India Bangalore</w:t>
            </w:r>
          </w:p>
        </w:tc>
      </w:tr>
      <w:tr>
        <w:tc>
          <w:tcPr/>
          <w:p>
            <w:pPr>
              <w:pStyle w:val="Compact"/>
              <w:jc w:val="left"/>
            </w:pPr>
            <w:r>
              <w:t xml:space="preserve">Position</w:t>
            </w:r>
          </w:p>
        </w:tc>
        <w:tc>
          <w:tcPr/>
          <w:p>
            <w:pPr>
              <w:pStyle w:val="Compact"/>
              <w:jc w:val="left"/>
            </w:pPr>
            <w:r>
              <w:t xml:space="preserve">University Lecturer (Full-Time, Permanent)</w:t>
            </w:r>
          </w:p>
        </w:tc>
      </w:tr>
      <w:tr>
        <w:tc>
          <w:tcPr/>
          <w:p>
            <w:pPr>
              <w:pStyle w:val="Compact"/>
              <w:jc w:val="left"/>
            </w:pPr>
            <w:r>
              <w:t xml:space="preserve">Location</w:t>
            </w:r>
          </w:p>
        </w:tc>
        <w:tc>
          <w:tcPr/>
          <w:p>
            <w:pPr>
              <w:pStyle w:val="Compact"/>
              <w:jc w:val="left"/>
            </w:pPr>
            <w:r>
              <w:t xml:space="preserve">India Bangalore — University Campus, Whitefield Road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received from the Department of Engineering Sciences for the recruitment and engagement of a qualified University Lecturer to deliver undergraduate and postgraduate coursework in the field of Computer Science and Information Technology. The scope of this Quotation Estimate encompasses the complete financial breakdown for the academic year 2025–2026, including compensation, statutory benefits, onboarding costs, and ancillary professional development expenses. All figures presented herein are specific to the India Bangalore metropolitan region and reflect current market rates, institutional norms, and applicable regulatory requirements under the University Grants Commission (UGC) guidelines and the Karnataka State Higher Education framework.</w:t>
      </w:r>
    </w:p>
    <w:bookmarkEnd w:id="21"/>
    <w:bookmarkStart w:id="22" w:name="Xa9f2a6a82869dc458b214a78652702e0f7715b1"/>
    <w:p>
      <w:pPr>
        <w:pStyle w:val="Heading2"/>
      </w:pPr>
      <w:r>
        <w:t xml:space="preserve">2. Candidate Profile and Qualification Requirements</w:t>
      </w:r>
    </w:p>
    <w:p>
      <w:pPr>
        <w:pStyle w:val="FirstParagraph"/>
      </w:pPr>
      <w:r>
        <w:t xml:space="preserve">The University Lecturer position outlined in this Quotation Estimate requires a candidate who holds a minimum of a Ph.D. degree in Computer Science, Information Technology, or a closely allied discipline from a recognized institution in India or abroad. The candidate must possess a minimum of five (5) years of post-doctoral teaching or research experience, with a demonstrable record of peer-reviewed publications in internationally indexed journals. The University Lecturer is expected to conduct lectures, tutorials, laboratory sessions, and research supervision for both B.Tech and M.Tech programmes. Additionally, the candidate must be proficient in curriculum design, academic assessment, and the integration of industry-relevant technologies into the India Bangalore academic ecosystem.</w:t>
      </w:r>
    </w:p>
    <w:bookmarkEnd w:id="22"/>
    <w:bookmarkStart w:id="23" w:name="detailed-cost-breakdown"/>
    <w:p>
      <w:pPr>
        <w:pStyle w:val="Heading2"/>
      </w:pPr>
      <w:r>
        <w:t xml:space="preserve">3. Detailed Cost Breakdown</w:t>
      </w:r>
    </w:p>
    <w:p>
      <w:pPr>
        <w:pStyle w:val="FirstParagraph"/>
      </w:pPr>
      <w:r>
        <w:t xml:space="preserve">The following table presents the itemized Quotation Estimate for the engagement of the University Lecturer for the academic year 2025–2026. All monetary values are expressed in Indian Rupees (INR) and are inclusive of applicable taxes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Basic Monthly Salary (University Lecturer, Grade II)</w:t>
            </w:r>
          </w:p>
        </w:tc>
        <w:tc>
          <w:tcPr/>
          <w:p>
            <w:pPr>
              <w:pStyle w:val="Compact"/>
              <w:jc w:val="left"/>
            </w:pPr>
            <w:r>
              <w:t xml:space="preserve">Monthly</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House Rent Allowance (HRA) — India Bangalore Metro</w:t>
            </w:r>
          </w:p>
        </w:tc>
        <w:tc>
          <w:tcPr/>
          <w:p>
            <w:pPr>
              <w:pStyle w:val="Compact"/>
              <w:jc w:val="left"/>
            </w:pPr>
            <w:r>
              <w:t xml:space="preserve">Monthly</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Dearness Allowance (DA) — UGC Revised Scale</w:t>
            </w:r>
          </w:p>
        </w:tc>
        <w:tc>
          <w:tcPr/>
          <w:p>
            <w:pPr>
              <w:pStyle w:val="Compact"/>
              <w:jc w:val="left"/>
            </w:pPr>
            <w:r>
              <w:t xml:space="preserve">Monthly</w:t>
            </w:r>
          </w:p>
        </w:tc>
        <w:tc>
          <w:tcPr/>
          <w:p>
            <w:pPr>
              <w:pStyle w:val="Compact"/>
              <w:jc w:val="left"/>
            </w:pPr>
            <w:r>
              <w:t xml:space="preserve">37,500</w:t>
            </w:r>
          </w:p>
        </w:tc>
      </w:tr>
      <w:tr>
        <w:tc>
          <w:tcPr/>
          <w:p>
            <w:pPr>
              <w:pStyle w:val="Compact"/>
              <w:jc w:val="left"/>
            </w:pPr>
            <w:r>
              <w:t xml:space="preserve">4</w:t>
            </w:r>
          </w:p>
        </w:tc>
        <w:tc>
          <w:tcPr/>
          <w:p>
            <w:pPr>
              <w:pStyle w:val="Compact"/>
              <w:jc w:val="left"/>
            </w:pPr>
            <w:r>
              <w:t xml:space="preserve">Special Allowance (Research &amp; Innovation)</w:t>
            </w:r>
          </w:p>
        </w:tc>
        <w:tc>
          <w:tcPr/>
          <w:p>
            <w:pPr>
              <w:pStyle w:val="Compact"/>
              <w:jc w:val="left"/>
            </w:pPr>
            <w:r>
              <w:t xml:space="preserve">Monthly</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Provident Fund (PF) Contribution — Employer Share (12%)</w:t>
            </w:r>
          </w:p>
        </w:tc>
        <w:tc>
          <w:tcPr/>
          <w:p>
            <w:pPr>
              <w:pStyle w:val="Compact"/>
              <w:jc w:val="left"/>
            </w:pPr>
            <w:r>
              <w:t xml:space="preserve">Monthly</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Gratuity Provision (as per Payment of Gratuity Act, 1972)</w:t>
            </w:r>
          </w:p>
        </w:tc>
        <w:tc>
          <w:tcPr/>
          <w:p>
            <w:pPr>
              <w:pStyle w:val="Compact"/>
              <w:jc w:val="left"/>
            </w:pPr>
            <w:r>
              <w:t xml:space="preserve">Annual</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Medical Insurance (Family Floater, India Bangalore Network)</w:t>
            </w:r>
          </w:p>
        </w:tc>
        <w:tc>
          <w:tcPr/>
          <w:p>
            <w:pPr>
              <w:pStyle w:val="Compact"/>
              <w:jc w:val="left"/>
            </w:pPr>
            <w:r>
              <w:t xml:space="preserve">Annual</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Professional Development &amp; Conference Subsidy</w:t>
            </w:r>
          </w:p>
        </w:tc>
        <w:tc>
          <w:tcPr/>
          <w:p>
            <w:pPr>
              <w:pStyle w:val="Compact"/>
              <w:jc w:val="left"/>
            </w:pPr>
            <w:r>
              <w:t xml:space="preserve">Annual</w:t>
            </w:r>
          </w:p>
        </w:tc>
        <w:tc>
          <w:tcPr/>
          <w:p>
            <w:pPr>
              <w:pStyle w:val="Compact"/>
              <w:jc w:val="left"/>
            </w:pPr>
            <w:r>
              <w:t xml:space="preserve">80,000</w:t>
            </w:r>
          </w:p>
        </w:tc>
      </w:tr>
      <w:tr>
        <w:tc>
          <w:tcPr/>
          <w:p>
            <w:pPr>
              <w:pStyle w:val="Compact"/>
              <w:jc w:val="left"/>
            </w:pPr>
            <w:r>
              <w:t xml:space="preserve">9</w:t>
            </w:r>
          </w:p>
        </w:tc>
        <w:tc>
          <w:tcPr/>
          <w:p>
            <w:pPr>
              <w:pStyle w:val="Compact"/>
              <w:jc w:val="left"/>
            </w:pPr>
            <w:r>
              <w:t xml:space="preserve">Onboarding &amp; Relocation Assistance (one-time)</w:t>
            </w:r>
          </w:p>
        </w:tc>
        <w:tc>
          <w:tcPr/>
          <w:p>
            <w:pPr>
              <w:pStyle w:val="Compact"/>
              <w:jc w:val="left"/>
            </w:pPr>
            <w:r>
              <w:t xml:space="preserve">One-time</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Recruitment &amp; Consultancy Fee (this Quotation Estimate service)</w:t>
            </w:r>
          </w:p>
        </w:tc>
        <w:tc>
          <w:tcPr/>
          <w:p>
            <w:pPr>
              <w:pStyle w:val="Compact"/>
              <w:jc w:val="left"/>
            </w:pPr>
            <w:r>
              <w:t xml:space="preserve">One-time</w:t>
            </w:r>
          </w:p>
        </w:tc>
        <w:tc>
          <w:tcPr/>
          <w:p>
            <w:pPr>
              <w:pStyle w:val="Compact"/>
              <w:jc w:val="left"/>
            </w:pPr>
            <w:r>
              <w:t xml:space="preserve">3,50,000</w:t>
            </w:r>
          </w:p>
        </w:tc>
      </w:tr>
      <w:tr>
        <w:tc>
          <w:tcPr>
            <w:gridSpan w:val="3"/>
          </w:tcPr>
          <w:p>
            <w:pPr>
              <w:pStyle w:val="Compact"/>
              <w:jc w:val="left"/>
            </w:pPr>
            <w:r>
              <w:t xml:space="preserve">Total Estimated Annual Cost (Quotation Estimate)</w:t>
            </w:r>
          </w:p>
        </w:tc>
        <w:tc>
          <w:tcPr/>
          <w:p>
            <w:pPr>
              <w:pStyle w:val="Compact"/>
              <w:jc w:val="left"/>
            </w:pPr>
            <w:r>
              <w:t xml:space="preserve">12,07,500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Beyond this period, the figures may be revised to reflect changes in the India Bangalore cost-of-living index or UGC pay revision notifications.</w:t>
      </w:r>
    </w:p>
    <w:p>
      <w:pPr>
        <w:numPr>
          <w:ilvl w:val="0"/>
          <w:numId w:val="1001"/>
        </w:numPr>
        <w:pStyle w:val="Compact"/>
      </w:pPr>
      <w:r>
        <w:t xml:space="preserve">The University Lecturer shall be bound by a standard employment contract of three (3) years, renewable upon mutual agreement and satisfactory performance appraisal.</w:t>
      </w:r>
    </w:p>
    <w:p>
      <w:pPr>
        <w:numPr>
          <w:ilvl w:val="0"/>
          <w:numId w:val="1001"/>
        </w:numPr>
        <w:pStyle w:val="Compact"/>
      </w:pPr>
      <w:r>
        <w:t xml:space="preserve">All statutory deductions, including Income Tax (TDS), Employee Provident Fund, and Professional Tax applicable in the state of Karnataka, India Bangalore, shall be deducted as per prevailing government regulations.</w:t>
      </w:r>
    </w:p>
    <w:p>
      <w:pPr>
        <w:numPr>
          <w:ilvl w:val="0"/>
          <w:numId w:val="1001"/>
        </w:numPr>
        <w:pStyle w:val="Compact"/>
      </w:pPr>
      <w:r>
        <w:t xml:space="preserve">The recruitment consultancy fee of INR 3,50,000 is payable within fifteen (15) days of the University Lecturer's successful completion of the probationary period (six months).</w:t>
      </w:r>
    </w:p>
    <w:p>
      <w:pPr>
        <w:numPr>
          <w:ilvl w:val="0"/>
          <w:numId w:val="1001"/>
        </w:numPr>
        <w:pStyle w:val="Compact"/>
      </w:pPr>
      <w:r>
        <w:t xml:space="preserve">The University reserves the right to withhold or adjust the Professional Development subsidy if the University Lecturer fails to present at least one (1) paper at a national or international conference per academic year.</w:t>
      </w:r>
    </w:p>
    <w:p>
      <w:pPr>
        <w:numPr>
          <w:ilvl w:val="0"/>
          <w:numId w:val="1001"/>
        </w:numPr>
        <w:pStyle w:val="Compact"/>
      </w:pPr>
      <w:r>
        <w:t xml:space="preserve">Any dispute arising from this Quotation Estimate shall be subject to the jurisdiction of the competent courts in India Bangalore, Karnataka.</w:t>
      </w:r>
    </w:p>
    <w:p>
      <w:pPr>
        <w:numPr>
          <w:ilvl w:val="0"/>
          <w:numId w:val="1001"/>
        </w:numPr>
        <w:pStyle w:val="Compact"/>
      </w:pPr>
      <w:r>
        <w:t xml:space="preserve">This Quotation Estimate does not constitute a binding employment offer until a formal appointment letter is issued by the University's Office of the Registrar.</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institution acknowledges receipt of this Quotation Estimate and confirms acceptance of the terms, conditions, and financial figures outlined for the engagement of the University Lecturer in India Bangalore. The signed copy shall serve as the basis for initiating the formal recruitment process and budgetary allocation.</w:t>
      </w:r>
    </w:p>
    <w:p>
      <w:pPr>
        <w:pStyle w:val="BodyText"/>
      </w:pPr>
      <w:r>
        <w:rPr>
          <w:bCs/>
          <w:b/>
        </w:rPr>
        <w:t xml:space="preserve">For and on behalf of the University</w:t>
      </w:r>
      <w:r>
        <w:br/>
      </w:r>
      <w:r>
        <w:t xml:space="preserve">Name: ___________________________</w:t>
      </w:r>
      <w:r>
        <w:br/>
      </w:r>
      <w:r>
        <w:t xml:space="preserve">Designation: Dean / HOD</w:t>
      </w:r>
      <w:r>
        <w:br/>
      </w:r>
      <w:r>
        <w:t xml:space="preserve">Date: ___________________________</w:t>
      </w:r>
    </w:p>
    <w:p>
      <w:pPr>
        <w:pStyle w:val="BodyText"/>
      </w:pPr>
      <w:r>
        <w:rPr>
          <w:bCs/>
          <w:b/>
        </w:rPr>
        <w:t xml:space="preserve">For Academic Recruitment &amp; Consultancy Services Pvt. Ltd.</w:t>
      </w:r>
      <w:r>
        <w:br/>
      </w:r>
      <w:r>
        <w:t xml:space="preserve">Name: ___________________________</w:t>
      </w:r>
      <w:r>
        <w:br/>
      </w:r>
      <w:r>
        <w:t xml:space="preserve">Designation: Director</w:t>
      </w:r>
      <w:r>
        <w:br/>
      </w:r>
      <w:r>
        <w:t xml:space="preserve">Date: ___________________________</w:t>
      </w:r>
    </w:p>
    <w:p>
      <w:pPr>
        <w:pStyle w:val="BodyText"/>
      </w:pPr>
      <w:r>
        <w:rPr>
          <w:bCs/>
          <w:b/>
        </w:rPr>
        <w:t xml:space="preserve">Disclaimer:</w:t>
      </w:r>
      <w:r>
        <w:t xml:space="preserve"> </w:t>
      </w:r>
      <w:r>
        <w:t xml:space="preserve">This Quotation Estimate is prepared exclusively for the institution named above and is intended for internal budgetary planning purposes. The figures are estimates based on prevailing India Bangalore market conditions as of June 2025 and are subject to revision. This document does not guarantee employment or constitute a contractual obligation until formally executed by both parties. For queries regarding this Quotation Estimate, please contact the undersigned consultancy at the India Bangalore office within the validity period.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India Bangalore</dc:title>
  <dc:creator/>
  <dc:language>en</dc:language>
  <cp:keywords/>
  <dcterms:created xsi:type="dcterms:W3CDTF">2026-10-10T03:44:57Z</dcterms:created>
  <dcterms:modified xsi:type="dcterms:W3CDTF">2026-10-10T03:44:57Z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