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Iran</w:t>
      </w:r>
      <w:r>
        <w:t xml:space="preserve"> </w:t>
      </w:r>
      <w:r>
        <w:t xml:space="preserve">Tehran</w:t>
      </w:r>
    </w:p>
    <w:bookmarkStart w:id="20" w:name="quotation-estimate"/>
    <w:p>
      <w:pPr>
        <w:pStyle w:val="Heading1"/>
      </w:pPr>
      <w:r>
        <w:t xml:space="preserve">QUOTATION ESTIMATE</w:t>
      </w:r>
    </w:p>
    <w:p>
      <w:pPr>
        <w:pStyle w:val="FirstParagraph"/>
      </w:pPr>
      <w:r>
        <w:t xml:space="preserve">Professional Academic Services — University Lecturer Engagement</w:t>
      </w:r>
    </w:p>
    <w:p>
      <w:pPr>
        <w:pStyle w:val="BodyText"/>
      </w:pPr>
      <w:r>
        <w:t xml:space="preserve">Prepared for Academic Institutions in Iran Tehran</w:t>
      </w:r>
    </w:p>
    <w:bookmarkEnd w:id="20"/>
    <w:p>
      <w:pPr>
        <w:pStyle w:val="BodyText"/>
      </w:pPr>
      <w:r>
        <w:rPr>
          <w:bCs/>
          <w:b/>
        </w:rPr>
        <w:t xml:space="preserve">Quotation No.:</w:t>
      </w:r>
      <w:r>
        <w:t xml:space="preserve"> </w:t>
      </w:r>
      <w:r>
        <w:t xml:space="preserve">QTE-2025-IR-0472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Prepared By:</w:t>
      </w:r>
      <w:r>
        <w:t xml:space="preserve"> </w:t>
      </w:r>
      <w:r>
        <w:t xml:space="preserve">Academic Recruitment &amp; Consultancy Services</w:t>
      </w:r>
      <w:r>
        <w:br/>
      </w:r>
      <w:r>
        <w:rPr>
          <w:bCs/>
          <w:b/>
        </w:rPr>
        <w:t xml:space="preserve">Address:</w:t>
      </w:r>
      <w:r>
        <w:t xml:space="preserve"> </w:t>
      </w:r>
      <w:r>
        <w:t xml:space="preserve">Valiasr Street, Tehran, Iran</w:t>
      </w:r>
      <w:r>
        <w:br/>
      </w:r>
      <w:r>
        <w:rPr>
          <w:bCs/>
          <w:b/>
        </w:rPr>
        <w:t xml:space="preserve">Contact:</w:t>
      </w:r>
      <w:r>
        <w:t xml:space="preserve"> </w:t>
      </w:r>
      <w:r>
        <w:t xml:space="preserve">info@academic-consultancy-ir.com</w:t>
      </w:r>
    </w:p>
    <w:bookmarkStart w:id="21" w:name="X091f0dfb82768bdcc14fb07ea5eabec314d991f"/>
    <w:p>
      <w:pPr>
        <w:pStyle w:val="Heading2"/>
      </w:pPr>
      <w:r>
        <w:t xml:space="preserve">1. Introduction and Purpose of This Quotation Estimate</w:t>
      </w:r>
    </w:p>
    <w:p>
      <w:pPr>
        <w:pStyle w:val="FirstParagraph"/>
      </w:pPr>
      <w:r>
        <w:t xml:space="preserve">This Quotation Estimate document has been prepared in accordance with the academic hiring standards applicable in Iran Tehran and is intended to provide a comprehensive financial and operational breakdown for the engagement of a qualified University Lecturer. The scope of this Quotation Estimate covers all costs associated with the recruitment, onboarding, and ongoing professional services of a University Lecturer who will deliver instruction, conduct research supervision, and participate in institutional academic governance at a recognized higher education institution located in Iran Tehran.</w:t>
      </w:r>
    </w:p>
    <w:p>
      <w:pPr>
        <w:pStyle w:val="BodyText"/>
      </w:pPr>
      <w:r>
        <w:t xml:space="preserve">The University Lecturer position described herein is designed to meet the specific pedagogical and research requirements of the hiring institution. All terms, conditions, and financial figures presented in this Quotation Estimate are subject to the regulatory framework governing academic employment in Iran Tehran, including compliance with the Ministry of Science, Research and Technology guidelines and the relevant labor regulations of the Islamic Republic of Iran.</w:t>
      </w:r>
    </w:p>
    <w:bookmarkEnd w:id="21"/>
    <w:bookmarkStart w:id="22" w:name="Xeb6c46b5f33ace7d4f62f5ab8b2bbcbfb01f360"/>
    <w:p>
      <w:pPr>
        <w:pStyle w:val="Heading2"/>
      </w:pPr>
      <w:r>
        <w:t xml:space="preserve">2. Scope of Services — University Lecturer Role</w:t>
      </w:r>
    </w:p>
    <w:p>
      <w:pPr>
        <w:pStyle w:val="FirstParagraph"/>
      </w:pPr>
      <w:r>
        <w:t xml:space="preserve">The University Lecturer engaged under this Quotation Estimate shall perform the following duties and responsibilities:</w:t>
      </w:r>
    </w:p>
    <w:p>
      <w:pPr>
        <w:numPr>
          <w:ilvl w:val="0"/>
          <w:numId w:val="1001"/>
        </w:numPr>
        <w:pStyle w:val="Compact"/>
      </w:pPr>
      <w:r>
        <w:t xml:space="preserve">Delivery of undergraduate and graduate-level courses in the designated academic discipline, with a minimum of 12 contact hours per academic week.</w:t>
      </w:r>
    </w:p>
    <w:p>
      <w:pPr>
        <w:numPr>
          <w:ilvl w:val="0"/>
          <w:numId w:val="1001"/>
        </w:numPr>
        <w:pStyle w:val="Compact"/>
      </w:pPr>
      <w:r>
        <w:t xml:space="preserve">Supervision of a maximum of six (6) Master's thesis candidates and two (2) PhD dissertation candidates per academic year.</w:t>
      </w:r>
    </w:p>
    <w:p>
      <w:pPr>
        <w:numPr>
          <w:ilvl w:val="0"/>
          <w:numId w:val="1001"/>
        </w:numPr>
        <w:pStyle w:val="Compact"/>
      </w:pPr>
      <w:r>
        <w:t xml:space="preserve">Participation in departmental and faculty-level academic committees, curriculum development boards, and examination panels as required by the institution in Iran Tehran.</w:t>
      </w:r>
    </w:p>
    <w:p>
      <w:pPr>
        <w:numPr>
          <w:ilvl w:val="0"/>
          <w:numId w:val="1001"/>
        </w:numPr>
        <w:pStyle w:val="Compact"/>
      </w:pPr>
      <w:r>
        <w:t xml:space="preserve">Conduct of original research and publication of a minimum of two (2) peer-reviewed articles per academic year in internationally recognized journals.</w:t>
      </w:r>
    </w:p>
    <w:p>
      <w:pPr>
        <w:numPr>
          <w:ilvl w:val="0"/>
          <w:numId w:val="1001"/>
        </w:numPr>
        <w:pStyle w:val="Compact"/>
      </w:pPr>
      <w:r>
        <w:t xml:space="preserve">Attendance at institutional seminars, workshops, and academic conferences held within Iran Tehran and, where applicable, at international venues.</w:t>
      </w:r>
    </w:p>
    <w:p>
      <w:pPr>
        <w:numPr>
          <w:ilvl w:val="0"/>
          <w:numId w:val="1001"/>
        </w:numPr>
        <w:pStyle w:val="Compact"/>
      </w:pPr>
      <w:r>
        <w:t xml:space="preserve">Mentoring of junior academic staff and graduate teaching assistants as part of the University Lecturer's professional development obligations.</w:t>
      </w:r>
    </w:p>
    <w:bookmarkEnd w:id="22"/>
    <w:bookmarkStart w:id="23" w:name="X9731a520f2df829f1d1069be7bb81379a3f65c0"/>
    <w:p>
      <w:pPr>
        <w:pStyle w:val="Heading2"/>
      </w:pPr>
      <w:r>
        <w:t xml:space="preserve">3. Financial Breakdown — Quotation Estimate Details</w:t>
      </w:r>
    </w:p>
    <w:p>
      <w:pPr>
        <w:pStyle w:val="FirstParagraph"/>
      </w:pPr>
      <w:r>
        <w:t xml:space="preserve">The following table presents the itemized Quotation Estimate for the University Lecturer engagement. All monetary values are expressed in Iranian Rials (IRR) unless otherwise stated, and are calculated based on prevailing academic salary benchmarks in Iran Tehran for the 2025–2026 academic year.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Cost (IRR)</w:t>
            </w:r>
          </w:p>
        </w:tc>
        <w:tc>
          <w:tcPr/>
          <w:p>
            <w:pPr>
              <w:pStyle w:val="Compact"/>
              <w:jc w:val="left"/>
            </w:pPr>
            <w:r>
              <w:t xml:space="preserve">Total (IRR)</w:t>
            </w:r>
          </w:p>
        </w:tc>
      </w:tr>
      <w:tr>
        <w:tc>
          <w:tcPr/>
          <w:p>
            <w:pPr>
              <w:pStyle w:val="Compact"/>
              <w:jc w:val="left"/>
            </w:pPr>
            <w:r>
              <w:t xml:space="preserve">1</w:t>
            </w:r>
          </w:p>
        </w:tc>
        <w:tc>
          <w:tcPr/>
          <w:p>
            <w:pPr>
              <w:pStyle w:val="Compact"/>
              <w:jc w:val="left"/>
            </w:pPr>
            <w:r>
              <w:t xml:space="preserve">Base Monthly Salary — University Lecturer (Assistant Professor level)</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85,000,000</w:t>
            </w:r>
          </w:p>
        </w:tc>
        <w:tc>
          <w:tcPr/>
          <w:p>
            <w:pPr>
              <w:pStyle w:val="Compact"/>
              <w:jc w:val="left"/>
            </w:pPr>
            <w:r>
              <w:t xml:space="preserve">1,020,000,000</w:t>
            </w:r>
          </w:p>
        </w:tc>
      </w:tr>
      <w:tr>
        <w:tc>
          <w:tcPr/>
          <w:p>
            <w:pPr>
              <w:pStyle w:val="Compact"/>
              <w:jc w:val="left"/>
            </w:pPr>
            <w:r>
              <w:t xml:space="preserve">2</w:t>
            </w:r>
          </w:p>
        </w:tc>
        <w:tc>
          <w:tcPr/>
          <w:p>
            <w:pPr>
              <w:pStyle w:val="Compact"/>
              <w:jc w:val="left"/>
            </w:pPr>
            <w:r>
              <w:t xml:space="preserve">Research Grant &amp; Publication Incentive</w:t>
            </w:r>
          </w:p>
        </w:tc>
        <w:tc>
          <w:tcPr/>
          <w:p>
            <w:pPr>
              <w:pStyle w:val="Compact"/>
              <w:jc w:val="left"/>
            </w:pPr>
            <w:r>
              <w:t xml:space="preserve">Year</w:t>
            </w:r>
          </w:p>
        </w:tc>
        <w:tc>
          <w:tcPr/>
          <w:p>
            <w:pPr>
              <w:pStyle w:val="Compact"/>
              <w:jc w:val="left"/>
            </w:pPr>
            <w:r>
              <w:t xml:space="preserve">1</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3</w:t>
            </w:r>
          </w:p>
        </w:tc>
        <w:tc>
          <w:tcPr/>
          <w:p>
            <w:pPr>
              <w:pStyle w:val="Compact"/>
              <w:jc w:val="left"/>
            </w:pPr>
            <w:r>
              <w:t xml:space="preserve">Teaching Load Allowance (excess hours beyond 12/week)</w:t>
            </w:r>
          </w:p>
        </w:tc>
        <w:tc>
          <w:tcPr/>
          <w:p>
            <w:pPr>
              <w:pStyle w:val="Compact"/>
              <w:jc w:val="left"/>
            </w:pPr>
            <w:r>
              <w:t xml:space="preserve">Hour</w:t>
            </w:r>
          </w:p>
        </w:tc>
        <w:tc>
          <w:tcPr/>
          <w:p>
            <w:pPr>
              <w:pStyle w:val="Compact"/>
              <w:jc w:val="left"/>
            </w:pPr>
            <w:r>
              <w:t xml:space="preserve">48</w:t>
            </w:r>
          </w:p>
        </w:tc>
        <w:tc>
          <w:tcPr/>
          <w:p>
            <w:pPr>
              <w:pStyle w:val="Compact"/>
              <w:jc w:val="left"/>
            </w:pPr>
            <w:r>
              <w:t xml:space="preserve">2,500,000</w:t>
            </w:r>
          </w:p>
        </w:tc>
        <w:tc>
          <w:tcPr/>
          <w:p>
            <w:pPr>
              <w:pStyle w:val="Compact"/>
              <w:jc w:val="left"/>
            </w:pPr>
            <w:r>
              <w:t xml:space="preserve">120,000,000</w:t>
            </w:r>
          </w:p>
        </w:tc>
      </w:tr>
      <w:tr>
        <w:tc>
          <w:tcPr/>
          <w:p>
            <w:pPr>
              <w:pStyle w:val="Compact"/>
              <w:jc w:val="left"/>
            </w:pPr>
            <w:r>
              <w:t xml:space="preserve">4</w:t>
            </w:r>
          </w:p>
        </w:tc>
        <w:tc>
          <w:tcPr/>
          <w:p>
            <w:pPr>
              <w:pStyle w:val="Compact"/>
              <w:jc w:val="left"/>
            </w:pPr>
            <w:r>
              <w:t xml:space="preserve">Thesis Supervision Fee (per candidate)</w:t>
            </w:r>
          </w:p>
        </w:tc>
        <w:tc>
          <w:tcPr/>
          <w:p>
            <w:pPr>
              <w:pStyle w:val="Compact"/>
              <w:jc w:val="left"/>
            </w:pPr>
            <w:r>
              <w:t xml:space="preserve">Candidate</w:t>
            </w:r>
          </w:p>
        </w:tc>
        <w:tc>
          <w:tcPr/>
          <w:p>
            <w:pPr>
              <w:pStyle w:val="Compact"/>
              <w:jc w:val="left"/>
            </w:pPr>
            <w:r>
              <w:t xml:space="preserve">8</w:t>
            </w:r>
          </w:p>
        </w:tc>
        <w:tc>
          <w:tcPr/>
          <w:p>
            <w:pPr>
              <w:pStyle w:val="Compact"/>
              <w:jc w:val="left"/>
            </w:pPr>
            <w:r>
              <w:t xml:space="preserve">15,000,000</w:t>
            </w:r>
          </w:p>
        </w:tc>
        <w:tc>
          <w:tcPr/>
          <w:p>
            <w:pPr>
              <w:pStyle w:val="Compact"/>
              <w:jc w:val="left"/>
            </w:pPr>
            <w:r>
              <w:t xml:space="preserve">120,000,000</w:t>
            </w:r>
          </w:p>
        </w:tc>
      </w:tr>
      <w:tr>
        <w:tc>
          <w:tcPr/>
          <w:p>
            <w:pPr>
              <w:pStyle w:val="Compact"/>
              <w:jc w:val="left"/>
            </w:pPr>
            <w:r>
              <w:t xml:space="preserve">5</w:t>
            </w:r>
          </w:p>
        </w:tc>
        <w:tc>
          <w:tcPr/>
          <w:p>
            <w:pPr>
              <w:pStyle w:val="Compact"/>
              <w:jc w:val="left"/>
            </w:pPr>
            <w:r>
              <w:t xml:space="preserve">Annual Health Insurance &amp; Social Security (Tamin-e Ejtemaei)</w:t>
            </w:r>
          </w:p>
        </w:tc>
        <w:tc>
          <w:tcPr/>
          <w:p>
            <w:pPr>
              <w:pStyle w:val="Compact"/>
              <w:jc w:val="left"/>
            </w:pPr>
            <w:r>
              <w:t xml:space="preserve">Year</w:t>
            </w:r>
          </w:p>
        </w:tc>
        <w:tc>
          <w:tcPr/>
          <w:p>
            <w:pPr>
              <w:pStyle w:val="Compact"/>
              <w:jc w:val="left"/>
            </w:pPr>
            <w:r>
              <w:t xml:space="preserve">1</w:t>
            </w:r>
          </w:p>
        </w:tc>
        <w:tc>
          <w:tcPr/>
          <w:p>
            <w:pPr>
              <w:pStyle w:val="Compact"/>
              <w:jc w:val="left"/>
            </w:pPr>
            <w:r>
              <w:t xml:space="preserve">96,000,000</w:t>
            </w:r>
          </w:p>
        </w:tc>
        <w:tc>
          <w:tcPr/>
          <w:p>
            <w:pPr>
              <w:pStyle w:val="Compact"/>
              <w:jc w:val="left"/>
            </w:pPr>
            <w:r>
              <w:t xml:space="preserve">96,000,000</w:t>
            </w:r>
          </w:p>
        </w:tc>
      </w:tr>
      <w:tr>
        <w:tc>
          <w:tcPr/>
          <w:p>
            <w:pPr>
              <w:pStyle w:val="Compact"/>
              <w:jc w:val="left"/>
            </w:pPr>
            <w:r>
              <w:t xml:space="preserve">6</w:t>
            </w:r>
          </w:p>
        </w:tc>
        <w:tc>
          <w:tcPr/>
          <w:p>
            <w:pPr>
              <w:pStyle w:val="Compact"/>
              <w:jc w:val="left"/>
            </w:pPr>
            <w:r>
              <w:t xml:space="preserve">Professional Development &amp; Conference Travel (Iran Tehran &amp; International)</w:t>
            </w:r>
          </w:p>
        </w:tc>
        <w:tc>
          <w:tcPr/>
          <w:p>
            <w:pPr>
              <w:pStyle w:val="Compact"/>
              <w:jc w:val="left"/>
            </w:pPr>
            <w:r>
              <w:t xml:space="preserve">Year</w:t>
            </w:r>
          </w:p>
        </w:tc>
        <w:tc>
          <w:tcPr/>
          <w:p>
            <w:pPr>
              <w:pStyle w:val="Compact"/>
              <w:jc w:val="left"/>
            </w:pPr>
            <w:r>
              <w:t xml:space="preserve">1</w:t>
            </w:r>
          </w:p>
        </w:tc>
        <w:tc>
          <w:tcPr/>
          <w:p>
            <w:pPr>
              <w:pStyle w:val="Compact"/>
              <w:jc w:val="left"/>
            </w:pPr>
            <w:r>
              <w:t xml:space="preserve">75,000,000</w:t>
            </w:r>
          </w:p>
        </w:tc>
        <w:tc>
          <w:tcPr/>
          <w:p>
            <w:pPr>
              <w:pStyle w:val="Compact"/>
              <w:jc w:val="left"/>
            </w:pPr>
            <w:r>
              <w:t xml:space="preserve">75,000,000</w:t>
            </w:r>
          </w:p>
        </w:tc>
      </w:tr>
      <w:tr>
        <w:tc>
          <w:tcPr/>
          <w:p>
            <w:pPr>
              <w:pStyle w:val="Compact"/>
              <w:jc w:val="left"/>
            </w:pPr>
            <w:r>
              <w:t xml:space="preserve">7</w:t>
            </w:r>
          </w:p>
        </w:tc>
        <w:tc>
          <w:tcPr/>
          <w:p>
            <w:pPr>
              <w:pStyle w:val="Compact"/>
              <w:jc w:val="left"/>
            </w:pPr>
            <w:r>
              <w:t xml:space="preserve">Recruitment &amp; Onboarding Administrative Fee</w:t>
            </w:r>
          </w:p>
        </w:tc>
        <w:tc>
          <w:tcPr/>
          <w:p>
            <w:pPr>
              <w:pStyle w:val="Compact"/>
              <w:jc w:val="left"/>
            </w:pPr>
            <w:r>
              <w:t xml:space="preserve">One-time</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8</w:t>
            </w:r>
          </w:p>
        </w:tc>
        <w:tc>
          <w:tcPr/>
          <w:p>
            <w:pPr>
              <w:pStyle w:val="Compact"/>
              <w:jc w:val="left"/>
            </w:pPr>
            <w:r>
              <w:t xml:space="preserve">Office &amp; Laboratory Access Provision (annual)</w:t>
            </w:r>
          </w:p>
        </w:tc>
        <w:tc>
          <w:tcPr/>
          <w:p>
            <w:pPr>
              <w:pStyle w:val="Compact"/>
              <w:jc w:val="left"/>
            </w:pPr>
            <w:r>
              <w:t xml:space="preserve">Year</w:t>
            </w:r>
          </w:p>
        </w:tc>
        <w:tc>
          <w:tcPr/>
          <w:p>
            <w:pPr>
              <w:pStyle w:val="Compact"/>
              <w:jc w:val="left"/>
            </w:pPr>
            <w:r>
              <w:t xml:space="preserve">1</w:t>
            </w:r>
          </w:p>
        </w:tc>
        <w:tc>
          <w:tcPr/>
          <w:p>
            <w:pPr>
              <w:pStyle w:val="Compact"/>
              <w:jc w:val="left"/>
            </w:pPr>
            <w:r>
              <w:t xml:space="preserve">60,000,000</w:t>
            </w:r>
          </w:p>
        </w:tc>
        <w:tc>
          <w:tcPr/>
          <w:p>
            <w:pPr>
              <w:pStyle w:val="Compact"/>
              <w:jc w:val="left"/>
            </w:pPr>
            <w:r>
              <w:t xml:space="preserve">60,000,000</w:t>
            </w:r>
          </w:p>
        </w:tc>
      </w:tr>
      <w:tr>
        <w:tc>
          <w:tcPr>
            <w:gridSpan w:val="5"/>
          </w:tcPr>
          <w:p>
            <w:pPr>
              <w:pStyle w:val="Compact"/>
              <w:jc w:val="left"/>
            </w:pPr>
            <w:r>
              <w:t xml:space="preserve">TOTAL QUOTATION ESTIMATE (Annual)</w:t>
            </w:r>
          </w:p>
        </w:tc>
        <w:tc>
          <w:tcPr/>
          <w:p>
            <w:pPr>
              <w:pStyle w:val="Compact"/>
              <w:jc w:val="left"/>
            </w:pPr>
            <w:r>
              <w:t xml:space="preserve">1,656,000,000</w:t>
            </w:r>
          </w:p>
        </w:tc>
      </w:tr>
    </w:tbl>
    <w:p>
      <w:pPr>
        <w:pStyle w:val="BodyText"/>
      </w:pPr>
      <w:r>
        <w:t xml:space="preserve">Note: The above Quotation Estimate is exclusive of Value Added Tax (VAT) where applicable under Iranian fiscal law. All figures are subject to annual adjustment based on the inflation index published by the Central Bank of Iran and the official salary revision circulars issued for academic staff in Iran Tehran.</w:t>
      </w:r>
    </w:p>
    <w:bookmarkEnd w:id="23"/>
    <w:bookmarkStart w:id="24" w:name="terms-and-conditions"/>
    <w:p>
      <w:pPr>
        <w:pStyle w:val="Heading2"/>
      </w:pPr>
      <w:r>
        <w:t xml:space="preserve">4. Terms and Conditions</w:t>
      </w:r>
    </w:p>
    <w:p>
      <w:pPr>
        <w:pStyle w:val="FirstParagraph"/>
      </w:pPr>
      <w:r>
        <w:rPr>
          <w:bCs/>
          <w:b/>
        </w:rPr>
        <w:t xml:space="preserve">4.1 Validity:</w:t>
      </w:r>
      <w:r>
        <w:t xml:space="preserve"> </w:t>
      </w:r>
      <w:r>
        <w:t xml:space="preserve">This Quotation Estimate shall remain valid for a period of ninety (90) days from the date of issue. Beyond this period, all financial figures may be revised to reflect current market conditions in Iran Tehran.</w:t>
      </w:r>
    </w:p>
    <w:p>
      <w:pPr>
        <w:pStyle w:val="BodyText"/>
      </w:pPr>
      <w:r>
        <w:rPr>
          <w:bCs/>
          <w:b/>
        </w:rPr>
        <w:t xml:space="preserve">4.2 Payment Schedule:</w:t>
      </w:r>
      <w:r>
        <w:t xml:space="preserve"> </w:t>
      </w:r>
      <w:r>
        <w:t xml:space="preserve">Compensation for the University Lecturer shall be disbursed on a monthly basis, no later than the fifth (5th) calendar day of each month. The research grant and thesis supervision fees shall be paid in two equal installments at the midpoint and conclusion of the academic year.</w:t>
      </w:r>
    </w:p>
    <w:p>
      <w:pPr>
        <w:pStyle w:val="BodyText"/>
      </w:pPr>
      <w:r>
        <w:rPr>
          <w:bCs/>
          <w:b/>
        </w:rPr>
        <w:t xml:space="preserve">4.3 Contract Duration:</w:t>
      </w:r>
      <w:r>
        <w:t xml:space="preserve"> </w:t>
      </w:r>
      <w:r>
        <w:t xml:space="preserve">The initial engagement period for the University Lecturer shall be one (1) academic year, renewable upon mutual agreement and satisfactory performance evaluation conducted by the faculty board in Iran Tehran.</w:t>
      </w:r>
    </w:p>
    <w:p>
      <w:pPr>
        <w:pStyle w:val="BodyText"/>
      </w:pPr>
      <w:r>
        <w:rPr>
          <w:bCs/>
          <w:b/>
        </w:rPr>
        <w:t xml:space="preserve">4.4 Termination:</w:t>
      </w:r>
      <w:r>
        <w:t xml:space="preserve"> </w:t>
      </w:r>
      <w:r>
        <w:t xml:space="preserve">Either party may terminate the engagement with a written notice of sixty (60) days. In the event of termination by the institution without cause, the University Lecturer shall be entitled to a severance payment equivalent to two (2) months' base salary as stipulated under Iranian labor law.</w:t>
      </w:r>
    </w:p>
    <w:p>
      <w:pPr>
        <w:pStyle w:val="BodyText"/>
      </w:pPr>
      <w:r>
        <w:rPr>
          <w:bCs/>
          <w:b/>
        </w:rPr>
        <w:t xml:space="preserve">4.5 Confidentiality:</w:t>
      </w:r>
      <w:r>
        <w:t xml:space="preserve"> </w:t>
      </w:r>
      <w:r>
        <w:t xml:space="preserve">The University Lecturer shall maintain strict confidentiality regarding unpublished research data, student records, and institutional proprietary information. This obligation shall survive the termination of the engagement for a period of three (3) years.</w:t>
      </w:r>
    </w:p>
    <w:p>
      <w:pPr>
        <w:pStyle w:val="BodyText"/>
      </w:pPr>
      <w:r>
        <w:rPr>
          <w:bCs/>
          <w:b/>
        </w:rPr>
        <w:t xml:space="preserve">4.6 Governing Law:</w:t>
      </w:r>
      <w:r>
        <w:t xml:space="preserve"> </w:t>
      </w:r>
      <w:r>
        <w:t xml:space="preserve">This Quotation Estimate and the resulting employment agreement shall be governed by and construed in accordance with the laws of the Islamic Republic of Iran, with jurisdiction vested in the competent courts of Iran Tehran.</w:t>
      </w:r>
    </w:p>
    <w:bookmarkEnd w:id="24"/>
    <w:bookmarkStart w:id="25" w:name="acceptance-and-authorization"/>
    <w:p>
      <w:pPr>
        <w:pStyle w:val="Heading2"/>
      </w:pPr>
      <w:r>
        <w:t xml:space="preserve">5. Acceptance and Authorization</w:t>
      </w:r>
    </w:p>
    <w:p>
      <w:pPr>
        <w:pStyle w:val="FirstParagraph"/>
      </w:pPr>
      <w:r>
        <w:t xml:space="preserve">By signing below, the authorized representative of the hiring institution acknowledges receipt of this Quotation Estimate and confirms acceptance of the terms, conditions, and financial figures outlined for the engagement of the University Lecturer in Iran Tehran. This signature constitutes a binding commitment to proceed with the recruitment and onboarding process as described herein.</w:t>
      </w:r>
    </w:p>
    <w:p>
      <w:pPr>
        <w:pStyle w:val="BodyText"/>
      </w:pPr>
      <w:r>
        <w:rPr>
          <w:bCs/>
          <w:b/>
        </w:rPr>
        <w:t xml:space="preserve">For the Hiring Institution</w:t>
      </w:r>
      <w:r>
        <w:br/>
      </w:r>
      <w:r>
        <w:t xml:space="preserve">Name: ______________________________</w:t>
      </w:r>
      <w:r>
        <w:br/>
      </w:r>
      <w:r>
        <w:t xml:space="preserve">Title: ______________________________</w:t>
      </w:r>
      <w:r>
        <w:br/>
      </w:r>
      <w:r>
        <w:t xml:space="preserve">Date: ______________________________</w:t>
      </w:r>
    </w:p>
    <w:p>
      <w:pPr>
        <w:pStyle w:val="BodyText"/>
      </w:pPr>
      <w:r>
        <w:rPr>
          <w:bCs/>
          <w:b/>
        </w:rPr>
        <w:t xml:space="preserve">For the Quotation Estimate Issuer</w:t>
      </w:r>
      <w:r>
        <w:br/>
      </w:r>
      <w:r>
        <w:t xml:space="preserve">Name: ______________________________</w:t>
      </w:r>
      <w:r>
        <w:br/>
      </w:r>
      <w:r>
        <w:t xml:space="preserve">Title: ______________________________</w:t>
      </w:r>
      <w:r>
        <w:br/>
      </w:r>
      <w:r>
        <w:t xml:space="preserve">Date: ______________________________</w:t>
      </w:r>
    </w:p>
    <w:p>
      <w:pPr>
        <w:pStyle w:val="BodyText"/>
      </w:pPr>
      <w:r>
        <w:t xml:space="preserve">Quotation Estimate No. QTE-2025-IR-0472 | University Lecturer Engagement | Iran Tehran</w:t>
      </w:r>
    </w:p>
    <w:p>
      <w:pPr>
        <w:pStyle w:val="BodyText"/>
      </w:pPr>
      <w:r>
        <w:t xml:space="preserve">This document is confidential and intended solely for the named recipient. Unauthorized reproduction or distribution is prohibited.</w:t>
      </w:r>
    </w:p>
    <w:p>
      <w:pPr>
        <w:pStyle w:val="BodyText"/>
      </w:pPr>
      <w:r>
        <w:t xml:space="preserve">© 2025 Academic Recruitment &amp; Consultancy Services, Tehran, Iran.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University Lecturer - Iran Tehran</dc:title>
  <dc:creator/>
  <dc:language>en</dc:language>
  <cp:keywords/>
  <dcterms:created xsi:type="dcterms:W3CDTF">2026-10-10T06:41:13Z</dcterms:created>
  <dcterms:modified xsi:type="dcterms:W3CDTF">2026-10-10T06:41:13Z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