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University</w:t>
      </w:r>
      <w:r>
        <w:t xml:space="preserve"> </w:t>
      </w:r>
      <w:r>
        <w:t xml:space="preserve">Lecturer</w:t>
      </w:r>
      <w:r>
        <w:t xml:space="preserve"> </w:t>
      </w:r>
      <w:r>
        <w:t xml:space="preserve">-</w:t>
      </w:r>
      <w:r>
        <w:t xml:space="preserve"> </w:t>
      </w:r>
      <w:r>
        <w:t xml:space="preserve">Israel</w:t>
      </w:r>
      <w:r>
        <w:t xml:space="preserve"> </w:t>
      </w:r>
      <w:r>
        <w:t xml:space="preserve">Tel</w:t>
      </w:r>
      <w:r>
        <w:t xml:space="preserve"> </w:t>
      </w:r>
      <w:r>
        <w:t xml:space="preserve">Aviv</w:t>
      </w:r>
    </w:p>
    <w:bookmarkStart w:id="20" w:name="quotation-estimate"/>
    <w:p>
      <w:pPr>
        <w:pStyle w:val="Heading1"/>
      </w:pPr>
      <w:r>
        <w:t xml:space="preserve">QUOTATION ESTIMATE</w:t>
      </w:r>
    </w:p>
    <w:p>
      <w:pPr>
        <w:pStyle w:val="FirstParagraph"/>
      </w:pPr>
      <w:r>
        <w:t xml:space="preserve">Professional Academic Services — University Lecturer Engagement</w:t>
      </w:r>
    </w:p>
    <w:p>
      <w:pPr>
        <w:pStyle w:val="BodyText"/>
      </w:pPr>
      <w:r>
        <w:t xml:space="preserve">Prepared for Academic Appointment in Israel Tel Aviv</w:t>
      </w:r>
    </w:p>
    <w:bookmarkEnd w:id="20"/>
    <w:p>
      <w:pPr>
        <w:pStyle w:val="BodyText"/>
      </w:pPr>
      <w:r>
        <w:rPr>
          <w:bCs/>
          <w:b/>
        </w:rPr>
        <w:t xml:space="preserve">Quotation No.:</w:t>
      </w:r>
      <w:r>
        <w:t xml:space="preserve"> </w:t>
      </w:r>
      <w:r>
        <w:t xml:space="preserve">QTE-TLV-2025-0417</w:t>
      </w:r>
      <w:r>
        <w:br/>
      </w:r>
      <w:r>
        <w:rPr>
          <w:bCs/>
          <w:b/>
        </w:rPr>
        <w:t xml:space="preserve">Date Issued:</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Prepared By:</w:t>
      </w:r>
      <w:r>
        <w:t xml:space="preserve"> </w:t>
      </w:r>
      <w:r>
        <w:t xml:space="preserve">Academic Staffing Division</w:t>
      </w:r>
      <w:r>
        <w:br/>
      </w:r>
      <w:r>
        <w:rPr>
          <w:bCs/>
          <w:b/>
        </w:rPr>
        <w:t xml:space="preserve">Institution:</w:t>
      </w:r>
      <w:r>
        <w:t xml:space="preserve"> </w:t>
      </w:r>
      <w:r>
        <w:t xml:space="preserve">Tel Aviv University — Faculty of Humanities</w:t>
      </w:r>
      <w:r>
        <w:br/>
      </w:r>
      <w:r>
        <w:rPr>
          <w:bCs/>
          <w:b/>
        </w:rPr>
        <w:t xml:space="preserve">Location:</w:t>
      </w:r>
      <w:r>
        <w:t xml:space="preserve"> </w:t>
      </w:r>
      <w:r>
        <w:t xml:space="preserve">Tel Aviv, Israel</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document has been prepared to provide a comprehensive financial and professional breakdown for the engagement of a</w:t>
      </w:r>
      <w:r>
        <w:t xml:space="preserve"> </w:t>
      </w:r>
      <w:r>
        <w:t xml:space="preserve">University Lecturer</w:t>
      </w:r>
      <w:r>
        <w:t xml:space="preserve"> </w:t>
      </w:r>
      <w:r>
        <w:t xml:space="preserve">to deliver academic instruction, conduct research supervision, and participate in departmental governance at a recognized higher education institution in</w:t>
      </w:r>
      <w:r>
        <w:t xml:space="preserve"> </w:t>
      </w:r>
      <w:r>
        <w:t xml:space="preserve">Israel Tel Aviv</w:t>
      </w:r>
      <w:r>
        <w:t xml:space="preserve">. The scope of this estimate covers a full academic year (September 2025 through August 2026) and includes all compensation components, benefits, and associated professional obligations as stipulated under Israeli academic labor regulations and the specific institutional policies of the host university in Tel Aviv.</w:t>
      </w:r>
    </w:p>
    <w:p>
      <w:pPr>
        <w:pStyle w:val="BodyText"/>
      </w:pPr>
      <w:r>
        <w:t xml:space="preserve">The</w:t>
      </w:r>
      <w:r>
        <w:t xml:space="preserve"> </w:t>
      </w:r>
      <w:r>
        <w:t xml:space="preserve">Quotation Estimate</w:t>
      </w:r>
      <w:r>
        <w:t xml:space="preserve"> </w:t>
      </w:r>
      <w:r>
        <w:t xml:space="preserve">is issued in accordance with the guidelines set forth by the Israeli Ministry of Education and the National Academy of Sciences, Engineering, and Technology (NASET) standards for academic personnel compensation. All figures presented herein are denominated in New Israeli Shekels (NIS / ILS) unless otherwise specified.</w:t>
      </w:r>
    </w:p>
    <w:bookmarkEnd w:id="21"/>
    <w:bookmarkStart w:id="22" w:name="Xeb6c46b5f33ace7d4f62f5ab8b2bbcbfb01f360"/>
    <w:p>
      <w:pPr>
        <w:pStyle w:val="Heading2"/>
      </w:pPr>
      <w:r>
        <w:t xml:space="preserve">2. Scope of Services — University Lecturer Role</w:t>
      </w:r>
    </w:p>
    <w:p>
      <w:pPr>
        <w:pStyle w:val="FirstParagraph"/>
      </w:pPr>
      <w:r>
        <w:t xml:space="preserve">The</w:t>
      </w:r>
      <w:r>
        <w:t xml:space="preserve"> </w:t>
      </w:r>
      <w:r>
        <w:t xml:space="preserve">University Lecturer</w:t>
      </w:r>
      <w:r>
        <w:t xml:space="preserve"> </w:t>
      </w:r>
      <w:r>
        <w:t xml:space="preserve">position encompasses the following core responsibilities within the academic framework of the institution in</w:t>
      </w:r>
      <w:r>
        <w:t xml:space="preserve"> </w:t>
      </w:r>
      <w:r>
        <w:t xml:space="preserve">Israel Tel Aviv</w:t>
      </w:r>
      <w:r>
        <w:t xml:space="preserve">:</w:t>
      </w:r>
    </w:p>
    <w:p>
      <w:pPr>
        <w:numPr>
          <w:ilvl w:val="0"/>
          <w:numId w:val="1001"/>
        </w:numPr>
        <w:pStyle w:val="Compact"/>
      </w:pPr>
      <w:r>
        <w:t xml:space="preserve">Delivery of undergraduate and graduate-level courses (minimum 12 contact hours per week during active semesters).</w:t>
      </w:r>
    </w:p>
    <w:p>
      <w:pPr>
        <w:numPr>
          <w:ilvl w:val="0"/>
          <w:numId w:val="1001"/>
        </w:numPr>
        <w:pStyle w:val="Compact"/>
      </w:pPr>
      <w:r>
        <w:t xml:space="preserve">Supervision of a maximum of six (6) master's thesis students and two (2) doctoral candidates per academic year.</w:t>
      </w:r>
    </w:p>
    <w:p>
      <w:pPr>
        <w:numPr>
          <w:ilvl w:val="0"/>
          <w:numId w:val="1001"/>
        </w:numPr>
        <w:pStyle w:val="Compact"/>
      </w:pPr>
      <w:r>
        <w:t xml:space="preserve">Active participation in departmental seminars, faculty meetings, and inter-departmental academic committees.</w:t>
      </w:r>
    </w:p>
    <w:p>
      <w:pPr>
        <w:numPr>
          <w:ilvl w:val="0"/>
          <w:numId w:val="1001"/>
        </w:numPr>
        <w:pStyle w:val="Compact"/>
      </w:pPr>
      <w:r>
        <w:t xml:space="preserve">Contribution to peer review processes for national and international academic journals.</w:t>
      </w:r>
    </w:p>
    <w:p>
      <w:pPr>
        <w:numPr>
          <w:ilvl w:val="0"/>
          <w:numId w:val="1001"/>
        </w:numPr>
        <w:pStyle w:val="Compact"/>
      </w:pPr>
      <w:r>
        <w:t xml:space="preserve">Engagement in community outreach programs aligned with the university's mission in the Tel Aviv metropolitan area.</w:t>
      </w:r>
    </w:p>
    <w:p>
      <w:pPr>
        <w:numPr>
          <w:ilvl w:val="0"/>
          <w:numId w:val="1001"/>
        </w:numPr>
        <w:pStyle w:val="Compact"/>
      </w:pPr>
      <w:r>
        <w:t xml:space="preserve">Maintenance of an active research portfolio with a minimum of two (2) peer-reviewed publications per year.</w:t>
      </w:r>
    </w:p>
    <w:bookmarkEnd w:id="22"/>
    <w:bookmarkStart w:id="23" w:name="X9731a520f2df829f1d1069be7bb81379a3f65c0"/>
    <w:p>
      <w:pPr>
        <w:pStyle w:val="Heading2"/>
      </w:pPr>
      <w:r>
        <w:t xml:space="preserve">3. Financial Breakdown — Quotation Estimate Details</w:t>
      </w:r>
    </w:p>
    <w:p>
      <w:pPr>
        <w:pStyle w:val="FirstParagraph"/>
      </w:pPr>
      <w:r>
        <w:t xml:space="preserve">The following table presents the itemized</w:t>
      </w:r>
      <w:r>
        <w:t xml:space="preserve"> </w:t>
      </w:r>
      <w:r>
        <w:t xml:space="preserve">Quotation Estimate</w:t>
      </w:r>
      <w:r>
        <w:t xml:space="preserve"> </w:t>
      </w:r>
      <w:r>
        <w:t xml:space="preserve">for the</w:t>
      </w:r>
      <w:r>
        <w:t xml:space="preserve"> </w:t>
      </w:r>
      <w:r>
        <w:t xml:space="preserve">University Lecturer</w:t>
      </w:r>
      <w:r>
        <w:t xml:space="preserve"> </w:t>
      </w:r>
      <w:r>
        <w:t xml:space="preserve">engagement in</w:t>
      </w:r>
      <w:r>
        <w:t xml:space="preserve"> </w:t>
      </w:r>
      <w:r>
        <w:t xml:space="preserve">Israel Tel Aviv</w:t>
      </w:r>
      <w:r>
        <w:t xml:space="preserve"> </w:t>
      </w:r>
      <w:r>
        <w:t xml:space="preserve">for the 2025–2026 academic year:</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Amount (NIS)</w:t>
            </w:r>
          </w:p>
        </w:tc>
      </w:tr>
      <w:tr>
        <w:tc>
          <w:tcPr/>
          <w:p>
            <w:pPr>
              <w:pStyle w:val="Compact"/>
              <w:jc w:val="left"/>
            </w:pPr>
            <w:r>
              <w:t xml:space="preserve">3.1</w:t>
            </w:r>
          </w:p>
        </w:tc>
        <w:tc>
          <w:tcPr/>
          <w:p>
            <w:pPr>
              <w:pStyle w:val="Compact"/>
              <w:jc w:val="left"/>
            </w:pPr>
            <w:r>
              <w:t xml:space="preserve">Base Annual Salary (University Lecturer, Rank: Senior Lecturer)</w:t>
            </w:r>
          </w:p>
        </w:tc>
        <w:tc>
          <w:tcPr/>
          <w:p>
            <w:pPr>
              <w:pStyle w:val="Compact"/>
              <w:jc w:val="left"/>
            </w:pPr>
            <w:r>
              <w:t xml:space="preserve">288,000</w:t>
            </w:r>
          </w:p>
        </w:tc>
      </w:tr>
      <w:tr>
        <w:tc>
          <w:tcPr/>
          <w:p>
            <w:pPr>
              <w:pStyle w:val="Compact"/>
              <w:jc w:val="left"/>
            </w:pPr>
            <w:r>
              <w:t xml:space="preserve">3.2</w:t>
            </w:r>
          </w:p>
        </w:tc>
        <w:tc>
          <w:tcPr/>
          <w:p>
            <w:pPr>
              <w:pStyle w:val="Compact"/>
              <w:jc w:val="left"/>
            </w:pPr>
            <w:r>
              <w:t xml:space="preserve">Teaching Load Allowance (exceeding standard 12 hrs/week)</w:t>
            </w:r>
          </w:p>
        </w:tc>
        <w:tc>
          <w:tcPr/>
          <w:p>
            <w:pPr>
              <w:pStyle w:val="Compact"/>
              <w:jc w:val="left"/>
            </w:pPr>
            <w:r>
              <w:t xml:space="preserve">24,000</w:t>
            </w:r>
          </w:p>
        </w:tc>
      </w:tr>
      <w:tr>
        <w:tc>
          <w:tcPr/>
          <w:p>
            <w:pPr>
              <w:pStyle w:val="Compact"/>
              <w:jc w:val="left"/>
            </w:pPr>
            <w:r>
              <w:t xml:space="preserve">3.3</w:t>
            </w:r>
          </w:p>
        </w:tc>
        <w:tc>
          <w:tcPr/>
          <w:p>
            <w:pPr>
              <w:pStyle w:val="Compact"/>
              <w:jc w:val="left"/>
            </w:pPr>
            <w:r>
              <w:t xml:space="preserve">Research Grant &amp; Publication Incentive</w:t>
            </w:r>
          </w:p>
        </w:tc>
        <w:tc>
          <w:tcPr/>
          <w:p>
            <w:pPr>
              <w:pStyle w:val="Compact"/>
              <w:jc w:val="left"/>
            </w:pPr>
            <w:r>
              <w:t xml:space="preserve">18,000</w:t>
            </w:r>
          </w:p>
        </w:tc>
      </w:tr>
      <w:tr>
        <w:tc>
          <w:tcPr/>
          <w:p>
            <w:pPr>
              <w:pStyle w:val="Compact"/>
              <w:jc w:val="left"/>
            </w:pPr>
            <w:r>
              <w:t xml:space="preserve">3.4</w:t>
            </w:r>
          </w:p>
        </w:tc>
        <w:tc>
          <w:tcPr/>
          <w:p>
            <w:pPr>
              <w:pStyle w:val="Compact"/>
              <w:jc w:val="left"/>
            </w:pPr>
            <w:r>
              <w:t xml:space="preserve">Thesis Supervision Stipend (per student, 8 students)</w:t>
            </w:r>
          </w:p>
        </w:tc>
        <w:tc>
          <w:tcPr/>
          <w:p>
            <w:pPr>
              <w:pStyle w:val="Compact"/>
              <w:jc w:val="left"/>
            </w:pPr>
            <w:r>
              <w:t xml:space="preserve">16,000</w:t>
            </w:r>
          </w:p>
        </w:tc>
      </w:tr>
      <w:tr>
        <w:tc>
          <w:tcPr/>
          <w:p>
            <w:pPr>
              <w:pStyle w:val="Compact"/>
              <w:jc w:val="left"/>
            </w:pPr>
            <w:r>
              <w:t xml:space="preserve">3.5</w:t>
            </w:r>
          </w:p>
        </w:tc>
        <w:tc>
          <w:tcPr/>
          <w:p>
            <w:pPr>
              <w:pStyle w:val="Compact"/>
              <w:jc w:val="left"/>
            </w:pPr>
            <w:r>
              <w:t xml:space="preserve">Cost-of-Living Adjustment — Tel Aviv Metropolitan Area</w:t>
            </w:r>
          </w:p>
        </w:tc>
        <w:tc>
          <w:tcPr/>
          <w:p>
            <w:pPr>
              <w:pStyle w:val="Compact"/>
              <w:jc w:val="left"/>
            </w:pPr>
            <w:r>
              <w:t xml:space="preserve">32,000</w:t>
            </w:r>
          </w:p>
        </w:tc>
      </w:tr>
      <w:tr>
        <w:tc>
          <w:tcPr/>
          <w:p>
            <w:pPr>
              <w:pStyle w:val="Compact"/>
              <w:jc w:val="left"/>
            </w:pPr>
            <w:r>
              <w:t xml:space="preserve">3.6</w:t>
            </w:r>
          </w:p>
        </w:tc>
        <w:tc>
          <w:tcPr/>
          <w:p>
            <w:pPr>
              <w:pStyle w:val="Compact"/>
              <w:jc w:val="left"/>
            </w:pPr>
            <w:r>
              <w:t xml:space="preserve">Health Insurance Supplement (Kupat Cholim — HMO)</w:t>
            </w:r>
          </w:p>
        </w:tc>
        <w:tc>
          <w:tcPr/>
          <w:p>
            <w:pPr>
              <w:pStyle w:val="Compact"/>
              <w:jc w:val="left"/>
            </w:pPr>
            <w:r>
              <w:t xml:space="preserve">12,500</w:t>
            </w:r>
          </w:p>
        </w:tc>
      </w:tr>
      <w:tr>
        <w:tc>
          <w:tcPr/>
          <w:p>
            <w:pPr>
              <w:pStyle w:val="Compact"/>
              <w:jc w:val="left"/>
            </w:pPr>
            <w:r>
              <w:t xml:space="preserve">3.7</w:t>
            </w:r>
          </w:p>
        </w:tc>
        <w:tc>
          <w:tcPr/>
          <w:p>
            <w:pPr>
              <w:pStyle w:val="Compact"/>
              <w:jc w:val="left"/>
            </w:pPr>
            <w:r>
              <w:t xml:space="preserve">Pension &amp; Retirement Fund Contribution (13% employer match)</w:t>
            </w:r>
          </w:p>
        </w:tc>
        <w:tc>
          <w:tcPr/>
          <w:p>
            <w:pPr>
              <w:pStyle w:val="Compact"/>
              <w:jc w:val="left"/>
            </w:pPr>
            <w:r>
              <w:t xml:space="preserve">37,440</w:t>
            </w:r>
          </w:p>
        </w:tc>
      </w:tr>
      <w:tr>
        <w:tc>
          <w:tcPr/>
          <w:p>
            <w:pPr>
              <w:pStyle w:val="Compact"/>
              <w:jc w:val="left"/>
            </w:pPr>
            <w:r>
              <w:t xml:space="preserve">3.8</w:t>
            </w:r>
          </w:p>
        </w:tc>
        <w:tc>
          <w:tcPr/>
          <w:p>
            <w:pPr>
              <w:pStyle w:val="Compact"/>
              <w:jc w:val="left"/>
            </w:pPr>
            <w:r>
              <w:t xml:space="preserve">Relocation &amp; Onboarding Package (one-time)</w:t>
            </w:r>
          </w:p>
        </w:tc>
        <w:tc>
          <w:tcPr/>
          <w:p>
            <w:pPr>
              <w:pStyle w:val="Compact"/>
              <w:jc w:val="left"/>
            </w:pPr>
            <w:r>
              <w:t xml:space="preserve">15,000</w:t>
            </w:r>
          </w:p>
        </w:tc>
      </w:tr>
      <w:tr>
        <w:tc>
          <w:tcPr/>
          <w:p>
            <w:pPr>
              <w:pStyle w:val="Compact"/>
              <w:jc w:val="left"/>
            </w:pPr>
            <w:r>
              <w:t xml:space="preserve">3.9</w:t>
            </w:r>
          </w:p>
        </w:tc>
        <w:tc>
          <w:tcPr/>
          <w:p>
            <w:pPr>
              <w:pStyle w:val="Compact"/>
              <w:jc w:val="left"/>
            </w:pPr>
            <w:r>
              <w:t xml:space="preserve">Professional Development &amp; Conference Travel Budget</w:t>
            </w:r>
          </w:p>
        </w:tc>
        <w:tc>
          <w:tcPr/>
          <w:p>
            <w:pPr>
              <w:pStyle w:val="Compact"/>
              <w:jc w:val="left"/>
            </w:pPr>
            <w:r>
              <w:t xml:space="preserve">8,000</w:t>
            </w:r>
          </w:p>
        </w:tc>
      </w:tr>
      <w:tr>
        <w:tc>
          <w:tcPr>
            <w:gridSpan w:val="2"/>
          </w:tcPr>
          <w:p>
            <w:pPr>
              <w:pStyle w:val="Compact"/>
              <w:jc w:val="left"/>
            </w:pPr>
            <w:r>
              <w:t xml:space="preserve">TOTAL ESTIMATED ANNUAL COST (Quotation Estimate)</w:t>
            </w:r>
          </w:p>
        </w:tc>
        <w:tc>
          <w:tcPr/>
          <w:p>
            <w:pPr>
              <w:pStyle w:val="Compact"/>
              <w:jc w:val="left"/>
            </w:pPr>
            <w:r>
              <w:t xml:space="preserve">450,940</w:t>
            </w:r>
          </w:p>
        </w:tc>
      </w:tr>
    </w:tbl>
    <w:p>
      <w:pPr>
        <w:pStyle w:val="BodyText"/>
      </w:pPr>
      <w:r>
        <w:t xml:space="preserve">All amounts are exclusive of the statutory Israeli income tax (Mas Hachov) and the National Insurance Institute (Bituach Leumi) contributions, which are deducted at source in compliance with Israeli tax law. The</w:t>
      </w:r>
      <w:r>
        <w:t xml:space="preserve"> </w:t>
      </w:r>
      <w:r>
        <w:t xml:space="preserve">Quotation Estimate</w:t>
      </w:r>
      <w:r>
        <w:t xml:space="preserve"> </w:t>
      </w:r>
      <w:r>
        <w:t xml:space="preserve">reflects gross compensation figures.</w:t>
      </w:r>
    </w:p>
    <w:bookmarkEnd w:id="23"/>
    <w:bookmarkStart w:id="24" w:name="terms-and-conditions"/>
    <w:p>
      <w:pPr>
        <w:pStyle w:val="Heading2"/>
      </w:pPr>
      <w:r>
        <w:t xml:space="preserve">4. Terms and Conditions</w:t>
      </w:r>
    </w:p>
    <w:p>
      <w:pPr>
        <w:numPr>
          <w:ilvl w:val="0"/>
          <w:numId w:val="1002"/>
        </w:numPr>
        <w:pStyle w:val="Compact"/>
      </w:pPr>
      <w:r>
        <w:rPr>
          <w:bCs/>
          <w:b/>
        </w:rPr>
        <w:t xml:space="preserve">Validity:</w:t>
      </w:r>
      <w:r>
        <w:t xml:space="preserve"> </w:t>
      </w:r>
      <w:r>
        <w:t xml:space="preserve">This</w:t>
      </w:r>
      <w:r>
        <w:t xml:space="preserve"> </w:t>
      </w:r>
      <w:r>
        <w:t xml:space="preserve">Quotation Estimate</w:t>
      </w:r>
      <w:r>
        <w:t xml:space="preserve"> </w:t>
      </w:r>
      <w:r>
        <w:t xml:space="preserve">is valid for a period of ninety (90) days from the date of issuance. Beyond this period, all figures are subject to revision based on prevailing economic conditions in</w:t>
      </w:r>
      <w:r>
        <w:t xml:space="preserve"> </w:t>
      </w:r>
      <w:r>
        <w:t xml:space="preserve">Israel Tel Aviv</w:t>
      </w:r>
      <w:r>
        <w:t xml:space="preserve">.</w:t>
      </w:r>
    </w:p>
    <w:p>
      <w:pPr>
        <w:numPr>
          <w:ilvl w:val="0"/>
          <w:numId w:val="1002"/>
        </w:numPr>
        <w:pStyle w:val="Compact"/>
      </w:pPr>
      <w:r>
        <w:rPr>
          <w:bCs/>
          <w:b/>
        </w:rPr>
        <w:t xml:space="preserve">Payment Schedule:</w:t>
      </w:r>
      <w:r>
        <w:t xml:space="preserve"> </w:t>
      </w:r>
      <w:r>
        <w:t xml:space="preserve">Compensation for the</w:t>
      </w:r>
      <w:r>
        <w:t xml:space="preserve"> </w:t>
      </w:r>
      <w:r>
        <w:t xml:space="preserve">University Lecturer</w:t>
      </w:r>
      <w:r>
        <w:t xml:space="preserve"> </w:t>
      </w:r>
      <w:r>
        <w:t xml:space="preserve">shall be disbursed on a monthly basis, with the first payment issued within fourteen (14) calendar days of the commencement date.</w:t>
      </w:r>
    </w:p>
    <w:p>
      <w:pPr>
        <w:numPr>
          <w:ilvl w:val="0"/>
          <w:numId w:val="1002"/>
        </w:numPr>
        <w:pStyle w:val="Compact"/>
      </w:pPr>
      <w:r>
        <w:rPr>
          <w:bCs/>
          <w:b/>
        </w:rPr>
        <w:t xml:space="preserve">Contract Duration:</w:t>
      </w:r>
      <w:r>
        <w:t xml:space="preserve"> </w:t>
      </w:r>
      <w:r>
        <w:t xml:space="preserve">The initial engagement period is one (1) academic year, renewable upon mutual agreement and satisfactory performance evaluation conducted by the faculty board in Tel Aviv.</w:t>
      </w:r>
    </w:p>
    <w:p>
      <w:pPr>
        <w:numPr>
          <w:ilvl w:val="0"/>
          <w:numId w:val="1002"/>
        </w:numPr>
        <w:pStyle w:val="Compact"/>
      </w:pPr>
      <w:r>
        <w:rPr>
          <w:bCs/>
          <w:b/>
        </w:rPr>
        <w:t xml:space="preserve">Termination:</w:t>
      </w:r>
      <w:r>
        <w:t xml:space="preserve"> </w:t>
      </w:r>
      <w:r>
        <w:t xml:space="preserve">Either party may terminate the agreement with a written notice of sixty (60) days, in accordance with the Israeli Labor Agreement Law (1957) and institutional bylaws.</w:t>
      </w:r>
    </w:p>
    <w:p>
      <w:pPr>
        <w:numPr>
          <w:ilvl w:val="0"/>
          <w:numId w:val="1002"/>
        </w:numPr>
        <w:pStyle w:val="Compact"/>
      </w:pPr>
      <w:r>
        <w:rPr>
          <w:bCs/>
          <w:b/>
        </w:rPr>
        <w:t xml:space="preserve">Confidentiality:</w:t>
      </w:r>
      <w:r>
        <w:t xml:space="preserve"> </w:t>
      </w:r>
      <w:r>
        <w:t xml:space="preserve">The</w:t>
      </w:r>
      <w:r>
        <w:t xml:space="preserve"> </w:t>
      </w:r>
      <w:r>
        <w:t xml:space="preserve">University Lecturer</w:t>
      </w:r>
      <w:r>
        <w:t xml:space="preserve"> </w:t>
      </w:r>
      <w:r>
        <w:t xml:space="preserve">shall maintain strict confidentiality regarding student records, unpublished research, and institutional proprietary information in full compliance with the Israeli Privacy Protection Law (1981).</w:t>
      </w:r>
    </w:p>
    <w:p>
      <w:pPr>
        <w:numPr>
          <w:ilvl w:val="0"/>
          <w:numId w:val="1002"/>
        </w:numPr>
        <w:pStyle w:val="Compact"/>
      </w:pPr>
      <w:r>
        <w:rPr>
          <w:bCs/>
          <w:b/>
        </w:rPr>
        <w:t xml:space="preserve">Intellectual Property:</w:t>
      </w:r>
      <w:r>
        <w:t xml:space="preserve"> </w:t>
      </w:r>
      <w:r>
        <w:t xml:space="preserve">All research outputs and academic works produced during the tenure of the</w:t>
      </w:r>
      <w:r>
        <w:t xml:space="preserve"> </w:t>
      </w:r>
      <w:r>
        <w:t xml:space="preserve">University Lecturer</w:t>
      </w:r>
      <w:r>
        <w:t xml:space="preserve"> </w:t>
      </w:r>
      <w:r>
        <w:t xml:space="preserve">position shall be governed by the university's intellectual property policy as registered in Tel Aviv.</w:t>
      </w:r>
    </w:p>
    <w:p>
      <w:pPr>
        <w:numPr>
          <w:ilvl w:val="0"/>
          <w:numId w:val="1002"/>
        </w:numPr>
        <w:pStyle w:val="Compact"/>
      </w:pPr>
      <w:r>
        <w:rPr>
          <w:bCs/>
          <w:b/>
        </w:rPr>
        <w:t xml:space="preserve">Governing Law:</w:t>
      </w:r>
      <w:r>
        <w:t xml:space="preserve"> </w:t>
      </w:r>
      <w:r>
        <w:t xml:space="preserve">This</w:t>
      </w:r>
      <w:r>
        <w:t xml:space="preserve"> </w:t>
      </w:r>
      <w:r>
        <w:t xml:space="preserve">Quotation Estimate</w:t>
      </w:r>
      <w:r>
        <w:t xml:space="preserve"> </w:t>
      </w:r>
      <w:r>
        <w:t xml:space="preserve">and the resulting employment agreement shall be governed by and construed in accordance with the laws of the State of Israel.</w:t>
      </w:r>
    </w:p>
    <w:bookmarkEnd w:id="24"/>
    <w:bookmarkStart w:id="25" w:name="acceptance-and-authorization"/>
    <w:p>
      <w:pPr>
        <w:pStyle w:val="Heading2"/>
      </w:pPr>
      <w:r>
        <w:t xml:space="preserve">5. Acceptance and Authorization</w:t>
      </w:r>
    </w:p>
    <w:p>
      <w:pPr>
        <w:pStyle w:val="FirstParagraph"/>
      </w:pPr>
      <w:r>
        <w:t xml:space="preserve">By signing below, the authorized representative of the institution in</w:t>
      </w:r>
      <w:r>
        <w:t xml:space="preserve"> </w:t>
      </w:r>
      <w:r>
        <w:t xml:space="preserve">Israel Tel Aviv</w:t>
      </w:r>
      <w:r>
        <w:t xml:space="preserve"> </w:t>
      </w:r>
      <w:r>
        <w:t xml:space="preserve">acknowledges and accepts the terms, conditions, and financial figures outlined in this</w:t>
      </w:r>
      <w:r>
        <w:t xml:space="preserve"> </w:t>
      </w:r>
      <w:r>
        <w:t xml:space="preserve">Quotation Estimate</w:t>
      </w:r>
      <w:r>
        <w:t xml:space="preserve"> </w:t>
      </w:r>
      <w:r>
        <w:t xml:space="preserve">for the engagement of the</w:t>
      </w:r>
      <w:r>
        <w:t xml:space="preserve"> </w:t>
      </w:r>
      <w:r>
        <w:t xml:space="preserve">University Lecturer</w:t>
      </w:r>
      <w:r>
        <w:t xml:space="preserve">. This document, once countersigned, constitutes a binding preliminary agreement pending the execution of the formal employment contract.</w:t>
      </w:r>
    </w:p>
    <w:bookmarkEnd w:id="25"/>
    <w:p>
      <w:pPr>
        <w:pStyle w:val="BodyText"/>
      </w:pPr>
      <w:r>
        <w:rPr>
          <w:bCs/>
          <w:b/>
        </w:rPr>
        <w:t xml:space="preserve">For the Institution (Tel Aviv, Israel):</w:t>
      </w:r>
      <w:r>
        <w:br/>
      </w:r>
      <w:r>
        <w:br/>
      </w:r>
      <w:r>
        <w:t xml:space="preserve">Name: ______________________________</w:t>
      </w:r>
      <w:r>
        <w:br/>
      </w:r>
      <w:r>
        <w:t xml:space="preserve">Title: Dean, Faculty of Humanities</w:t>
      </w:r>
      <w:r>
        <w:br/>
      </w:r>
      <w:r>
        <w:t xml:space="preserve">Signature: ______________________________</w:t>
      </w:r>
      <w:r>
        <w:br/>
      </w:r>
      <w:r>
        <w:t xml:space="preserve">Date: ______________________________</w:t>
      </w:r>
    </w:p>
    <w:p>
      <w:pPr>
        <w:pStyle w:val="BodyText"/>
      </w:pPr>
      <w:r>
        <w:rPr>
          <w:bCs/>
          <w:b/>
        </w:rPr>
        <w:t xml:space="preserve">For the University Lecturer:</w:t>
      </w:r>
      <w:r>
        <w:br/>
      </w:r>
      <w:r>
        <w:br/>
      </w:r>
      <w:r>
        <w:t xml:space="preserve">Name: ______________________________</w:t>
      </w:r>
      <w:r>
        <w:br/>
      </w:r>
      <w:r>
        <w:t xml:space="preserve">Academic Rank: Senior Lecturer</w:t>
      </w:r>
      <w:r>
        <w:br/>
      </w:r>
      <w:r>
        <w:t xml:space="preserve">Signature: ______________________________</w:t>
      </w:r>
      <w:r>
        <w:br/>
      </w:r>
      <w:r>
        <w:t xml:space="preserve">Date: ______________________________</w:t>
      </w:r>
    </w:p>
    <w:p>
      <w:pPr>
        <w:pStyle w:val="BodyText"/>
      </w:pPr>
      <w:r>
        <w:t xml:space="preserve">Quotation Estimate No. QTE-TLV-2025-0417 | University Lecturer Engagement | Israel Tel Aviv</w:t>
      </w:r>
      <w:r>
        <w:br/>
      </w:r>
      <w:r>
        <w:t xml:space="preserve">This document is confidential and intended solely for the named parties. Unauthorized distribution is prohibited.</w:t>
      </w:r>
      <w:r>
        <w:br/>
      </w:r>
      <w:r>
        <w:t xml:space="preserve">© 2025 Academic Staffing Division, Tel Aviv.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University Lecturer - Israel Tel Aviv</dc:title>
  <dc:creator/>
  <dc:language>en</dc:language>
  <cp:keywords/>
  <dcterms:created xsi:type="dcterms:W3CDTF">2026-10-10T04:14:34Z</dcterms:created>
  <dcterms:modified xsi:type="dcterms:W3CDTF">2026-10-10T04:14:34Z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