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Academic Engagement — University Lecturer Position</w:t>
      </w:r>
    </w:p>
    <w:p>
      <w:pPr>
        <w:pStyle w:val="BodyText"/>
      </w:pPr>
      <w:r>
        <w:t xml:space="preserve">Prepared for Academic Recruitment in Japan Kyoto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KYU-2025-04782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Office of Academic Affairs, Kyoto International University Consortium</w:t>
            </w:r>
          </w:p>
        </w:tc>
        <w:tc>
          <w:tcPr/>
          <w:p>
            <w:pPr>
              <w:pStyle w:val="Compact"/>
              <w:jc w:val="left"/>
            </w:pPr>
            <w:r>
              <w:t xml:space="preserve">Location:</w:t>
            </w:r>
          </w:p>
        </w:tc>
        <w:tc>
          <w:tcPr/>
          <w:p>
            <w:pPr>
              <w:pStyle w:val="Compact"/>
              <w:jc w:val="left"/>
            </w:pPr>
            <w:r>
              <w:t xml:space="preserve">Kyoto, Japan</w:t>
            </w:r>
          </w:p>
        </w:tc>
      </w:tr>
      <w:tr>
        <w:tc>
          <w:tcPr/>
          <w:p>
            <w:pPr>
              <w:pStyle w:val="Compact"/>
              <w:jc w:val="left"/>
            </w:pPr>
            <w:r>
              <w:t xml:space="preserve">Client / Institution:</w:t>
            </w:r>
          </w:p>
        </w:tc>
        <w:tc>
          <w:tcPr/>
          <w:p>
            <w:pPr>
              <w:pStyle w:val="Compact"/>
              <w:jc w:val="left"/>
            </w:pPr>
            <w:r>
              <w:t xml:space="preserve">Faculty of Humanities &amp; Social Sciences, Kyoto International University Consortium</w:t>
            </w:r>
          </w:p>
        </w:tc>
        <w:tc>
          <w:tcPr/>
          <w:p>
            <w:pPr>
              <w:pStyle w:val="Compact"/>
              <w:jc w:val="left"/>
            </w:pPr>
            <w:r>
              <w:t xml:space="preserve">Contact:</w:t>
            </w:r>
          </w:p>
        </w:tc>
        <w:tc>
          <w:tcPr/>
          <w:p>
            <w:pPr>
              <w:pStyle w:val="Compact"/>
              <w:jc w:val="left"/>
            </w:pPr>
            <w:r>
              <w:t xml:space="preserve">Dr. Haruki Tanaka, Dean of Faculty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formally prepared to outline the comprehensive financial terms, compensation structure, and professional conditions associated with the engagement of a</w:t>
      </w:r>
      <w:r>
        <w:t xml:space="preserve"> </w:t>
      </w:r>
      <w:r>
        <w:t xml:space="preserve">University Lecturer</w:t>
      </w:r>
      <w:r>
        <w:t xml:space="preserve"> </w:t>
      </w:r>
      <w:r>
        <w:t xml:space="preserve">at the Kyoto International University Consortium, located in the historic and culturally rich city of</w:t>
      </w:r>
      <w:r>
        <w:t xml:space="preserve"> </w:t>
      </w:r>
      <w:r>
        <w:t xml:space="preserve">Japan Kyoto</w:t>
      </w:r>
      <w:r>
        <w:t xml:space="preserve">. This quotation estimate serves as the official financial proposal for the recruitment cycle of the 2025–2026 academic year and is intended to provide full transparency regarding all costs, benefits, and obligations tied to the University Lecturer position.</w:t>
      </w:r>
    </w:p>
    <w:p>
      <w:pPr>
        <w:pStyle w:val="BodyText"/>
      </w:pPr>
      <w:r>
        <w:t xml:space="preserve">The University Lecturer role described herein encompasses full-time teaching responsibilities, research supervision, curriculum development, and administrative duties within the Faculty of Humanities and Social Sciences. The position is situated in the central campus of Kyoto, Japan, a city renowned for its academic heritage, traditional temples, and vibrant scholarly community. This quotation estimate reflects the competitive compensation standards expected for a University Lecturer operating within the Japan Kyoto academic ecosystem.</w:t>
      </w:r>
    </w:p>
    <w:bookmarkEnd w:id="21"/>
    <w:bookmarkStart w:id="22" w:name="Xec6cb52aa77100a39e365669edee0651f767b12"/>
    <w:p>
      <w:pPr>
        <w:pStyle w:val="Heading2"/>
      </w:pPr>
      <w:r>
        <w:t xml:space="preserve">2. Scope of Engagement — University Lecturer Duties</w:t>
      </w:r>
    </w:p>
    <w:p>
      <w:pPr>
        <w:pStyle w:val="FirstParagraph"/>
      </w:pPr>
      <w:r>
        <w:t xml:space="preserve">The University Lecturer engaged under this quotation estimate shall be responsible for the following core duties:</w:t>
      </w:r>
    </w:p>
    <w:p>
      <w:pPr>
        <w:numPr>
          <w:ilvl w:val="0"/>
          <w:numId w:val="1001"/>
        </w:numPr>
        <w:pStyle w:val="Compact"/>
      </w:pPr>
      <w:r>
        <w:t xml:space="preserve">Delivery of a minimum of 24 contact hours per week across undergraduate and postgraduate courses in the Faculty of Humanities and Social Sciences.</w:t>
      </w:r>
    </w:p>
    <w:p>
      <w:pPr>
        <w:numPr>
          <w:ilvl w:val="0"/>
          <w:numId w:val="1001"/>
        </w:numPr>
        <w:pStyle w:val="Compact"/>
      </w:pPr>
      <w:r>
        <w:t xml:space="preserve">Supervision of a maximum of six (6) doctoral research students per academic year, including regular progress reviews and thesis guidance.</w:t>
      </w:r>
    </w:p>
    <w:p>
      <w:pPr>
        <w:numPr>
          <w:ilvl w:val="0"/>
          <w:numId w:val="1001"/>
        </w:numPr>
        <w:pStyle w:val="Compact"/>
      </w:pPr>
      <w:r>
        <w:t xml:space="preserve">Development and revision of course materials, syllabi, and assessment frameworks in alignment with the Japan Kyoto academic calendar and institutional accreditation standards.</w:t>
      </w:r>
    </w:p>
    <w:p>
      <w:pPr>
        <w:numPr>
          <w:ilvl w:val="0"/>
          <w:numId w:val="1001"/>
        </w:numPr>
        <w:pStyle w:val="Compact"/>
      </w:pPr>
      <w:r>
        <w:t xml:space="preserve">Participation in departmental meetings, faculty governance committees, and inter-university collaborative research initiatives within the Kyoto metropolitan academic network.</w:t>
      </w:r>
    </w:p>
    <w:p>
      <w:pPr>
        <w:numPr>
          <w:ilvl w:val="0"/>
          <w:numId w:val="1001"/>
        </w:numPr>
        <w:pStyle w:val="Compact"/>
      </w:pPr>
      <w:r>
        <w:t xml:space="preserve">Representation of the institution at national and international academic conferences, with particular emphasis on events held in Japan Kyoto and the broader Kansai region.</w:t>
      </w:r>
    </w:p>
    <w:p>
      <w:pPr>
        <w:numPr>
          <w:ilvl w:val="0"/>
          <w:numId w:val="1001"/>
        </w:numPr>
        <w:pStyle w:val="Compact"/>
      </w:pPr>
      <w:r>
        <w:t xml:space="preserve">Maintenance of an active research portfolio, with a minimum of two (2) peer-reviewed publications per academic year.</w:t>
      </w:r>
    </w:p>
    <w:bookmarkEnd w:id="22"/>
    <w:bookmarkStart w:id="23" w:name="itemized-financial-breakdown"/>
    <w:p>
      <w:pPr>
        <w:pStyle w:val="Heading2"/>
      </w:pPr>
      <w:r>
        <w:t xml:space="preserve">3. Itemized Financial Breakdown</w:t>
      </w:r>
    </w:p>
    <w:p>
      <w:pPr>
        <w:pStyle w:val="FirstParagraph"/>
      </w:pPr>
      <w:r>
        <w:t xml:space="preserve">The following table constitutes the detailed cost structure of this Quotation Estimate for the University Lecturer engagement in Japan Kyoto. All figures are expressed in Japanese Yen (JPY) on an annual basis unless otherwise noted.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Period</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Base Annual Salary — University Lecturer (Grade L-3)</w:t>
            </w:r>
          </w:p>
        </w:tc>
        <w:tc>
          <w:tcPr/>
          <w:p>
            <w:pPr>
              <w:pStyle w:val="Compact"/>
              <w:jc w:val="left"/>
            </w:pPr>
            <w:r>
              <w:t xml:space="preserve">12 months</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Research Allowance &amp; Publication Grant</w:t>
            </w:r>
          </w:p>
        </w:tc>
        <w:tc>
          <w:tcPr/>
          <w:p>
            <w:pPr>
              <w:pStyle w:val="Compact"/>
              <w:jc w:val="left"/>
            </w:pPr>
            <w:r>
              <w:t xml:space="preserve">12 months</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Teaching Load Supplement (exceeding 24 hrs/week)</w:t>
            </w:r>
          </w:p>
        </w:tc>
        <w:tc>
          <w:tcPr/>
          <w:p>
            <w:pPr>
              <w:pStyle w:val="Compact"/>
              <w:jc w:val="left"/>
            </w:pPr>
            <w:r>
              <w:t xml:space="preserve">Per hour</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Annual Performance Bonus (target 1.5 months’ salary)</w:t>
            </w:r>
          </w:p>
        </w:tc>
        <w:tc>
          <w:tcPr/>
          <w:p>
            <w:pPr>
              <w:pStyle w:val="Compact"/>
              <w:jc w:val="left"/>
            </w:pPr>
            <w:r>
              <w:t xml:space="preserve">Annual</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Housing Subsidy — Kyoto City Residential Allowance</w:t>
            </w:r>
          </w:p>
        </w:tc>
        <w:tc>
          <w:tcPr/>
          <w:p>
            <w:pPr>
              <w:pStyle w:val="Compact"/>
              <w:jc w:val="left"/>
            </w:pPr>
            <w:r>
              <w:t xml:space="preserve">Monthly</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Relocation &amp; Settling-in Grant (one-time, for international hires)</w:t>
            </w:r>
          </w:p>
        </w:tc>
        <w:tc>
          <w:tcPr/>
          <w:p>
            <w:pPr>
              <w:pStyle w:val="Compact"/>
              <w:jc w:val="left"/>
            </w:pPr>
            <w:r>
              <w:t xml:space="preserve">One-time</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Health &amp; Life Insurance Premium (institutional contribution)</w:t>
            </w:r>
          </w:p>
        </w:tc>
        <w:tc>
          <w:tcPr/>
          <w:p>
            <w:pPr>
              <w:pStyle w:val="Compact"/>
              <w:jc w:val="left"/>
            </w:pPr>
            <w:r>
              <w:t xml:space="preserve">Monthly</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Annual Leave &amp; Sabbatical Provision (5 weeks + 1 sabbatical year)</w:t>
            </w:r>
          </w:p>
        </w:tc>
        <w:tc>
          <w:tcPr/>
          <w:p>
            <w:pPr>
              <w:pStyle w:val="Compact"/>
              <w:jc w:val="left"/>
            </w:pPr>
            <w:r>
              <w:t xml:space="preserve">Annual</w:t>
            </w:r>
          </w:p>
        </w:tc>
        <w:tc>
          <w:tcPr/>
          <w:p>
            <w:pPr>
              <w:pStyle w:val="Compact"/>
              <w:jc w:val="left"/>
            </w:pPr>
            <w:r>
              <w:t xml:space="preserve">Included</w:t>
            </w:r>
          </w:p>
        </w:tc>
      </w:tr>
      <w:tr>
        <w:tc>
          <w:tcPr/>
          <w:p>
            <w:pPr>
              <w:pStyle w:val="Compact"/>
              <w:jc w:val="left"/>
            </w:pPr>
            <w:r>
              <w:t xml:space="preserve">09</w:t>
            </w:r>
          </w:p>
        </w:tc>
        <w:tc>
          <w:tcPr/>
          <w:p>
            <w:pPr>
              <w:pStyle w:val="Compact"/>
              <w:jc w:val="left"/>
            </w:pPr>
            <w:r>
              <w:t xml:space="preserve">Professional Development &amp; Conference Travel Budget</w:t>
            </w:r>
          </w:p>
        </w:tc>
        <w:tc>
          <w:tcPr/>
          <w:p>
            <w:pPr>
              <w:pStyle w:val="Compact"/>
              <w:jc w:val="left"/>
            </w:pPr>
            <w:r>
              <w:t xml:space="preserve">Annual</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Japanese Language Training Stipend (for non-native speakers)</w:t>
            </w:r>
          </w:p>
        </w:tc>
        <w:tc>
          <w:tcPr/>
          <w:p>
            <w:pPr>
              <w:pStyle w:val="Compact"/>
              <w:jc w:val="left"/>
            </w:pPr>
            <w:r>
              <w:t xml:space="preserve">Monthly (first 12 months)</w:t>
            </w:r>
          </w:p>
        </w:tc>
        <w:tc>
          <w:tcPr/>
          <w:p>
            <w:pPr>
              <w:pStyle w:val="Compact"/>
              <w:jc w:val="left"/>
            </w:pPr>
            <w:r>
              <w:t xml:space="preserve">30,000</w:t>
            </w:r>
          </w:p>
        </w:tc>
      </w:tr>
      <w:tr>
        <w:tc>
          <w:tcPr>
            <w:gridSpan w:val="3"/>
          </w:tcPr>
          <w:p>
            <w:pPr>
              <w:pStyle w:val="Compact"/>
              <w:jc w:val="left"/>
            </w:pPr>
            <w:r>
              <w:t xml:space="preserve">TOTAL ESTIMATED ANNUAL COST (Items 01–10, recurring)</w:t>
            </w:r>
          </w:p>
        </w:tc>
        <w:tc>
          <w:tcPr/>
          <w:p>
            <w:pPr>
              <w:pStyle w:val="Compact"/>
              <w:jc w:val="left"/>
            </w:pPr>
            <w:r>
              <w:t xml:space="preserve">11,040,000</w:t>
            </w:r>
          </w:p>
        </w:tc>
      </w:tr>
      <w:tr>
        <w:tc>
          <w:tcPr>
            <w:gridSpan w:val="3"/>
          </w:tcPr>
          <w:p>
            <w:pPr>
              <w:pStyle w:val="Compact"/>
              <w:jc w:val="left"/>
            </w:pPr>
            <w:r>
              <w:t xml:space="preserve">TOTAL ESTIMATED ANNUAL COST (including one-time Item 06)</w:t>
            </w:r>
          </w:p>
        </w:tc>
        <w:tc>
          <w:tcPr/>
          <w:p>
            <w:pPr>
              <w:pStyle w:val="Compact"/>
              <w:jc w:val="left"/>
            </w:pPr>
            <w:r>
              <w:t xml:space="preserve">11,540,000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ninety (90) days from the date of issue. Beyond this period, all figures subject to revision based on prevailing Japan Kyoto labor market conditions and institutional budget allocations.</w:t>
      </w:r>
    </w:p>
    <w:p>
      <w:pPr>
        <w:numPr>
          <w:ilvl w:val="0"/>
          <w:numId w:val="1002"/>
        </w:numPr>
        <w:pStyle w:val="Compact"/>
      </w:pPr>
      <w:r>
        <w:t xml:space="preserve">The University Lecturer engagement is initially for a fixed term of three (3) academic years, with the option of renewal to a permanent appointment subject to satisfactory performance evaluation conducted at the end of the second year.</w:t>
      </w:r>
    </w:p>
    <w:p>
      <w:pPr>
        <w:numPr>
          <w:ilvl w:val="0"/>
          <w:numId w:val="1002"/>
        </w:numPr>
        <w:pStyle w:val="Compact"/>
      </w:pPr>
      <w:r>
        <w:t xml:space="preserve">All compensation outlined in this quotation estimate is subject to applicable Japanese national and Kyoto prefectural tax withholdings, social insurance deductions, and institutional payroll regulations.</w:t>
      </w:r>
    </w:p>
    <w:p>
      <w:pPr>
        <w:numPr>
          <w:ilvl w:val="0"/>
          <w:numId w:val="1002"/>
        </w:numPr>
        <w:pStyle w:val="Compact"/>
      </w:pPr>
      <w:r>
        <w:t xml:space="preserve">The housing subsidy (Item 05) is contingent upon the University Lecturer residing within a 30-kilometer radius of the Kyoto campus and is subject to annual review based on the Japan Kyoto residential cost index.</w:t>
      </w:r>
    </w:p>
    <w:p>
      <w:pPr>
        <w:numPr>
          <w:ilvl w:val="0"/>
          <w:numId w:val="1002"/>
        </w:numPr>
        <w:pStyle w:val="Compact"/>
      </w:pPr>
      <w:r>
        <w:t xml:space="preserve">The relocation grant (Item 06) is payable within thirty (30) days of the University Lecturer’s confirmed arrival in Japan Kyoto and is non-refundable unless the engagement is terminated within the first six months due to institutional cause.</w:t>
      </w:r>
    </w:p>
    <w:p>
      <w:pPr>
        <w:numPr>
          <w:ilvl w:val="0"/>
          <w:numId w:val="1002"/>
        </w:numPr>
        <w:pStyle w:val="Compact"/>
      </w:pPr>
      <w:r>
        <w:t xml:space="preserve">Any additional teaching load beyond the standard 24 contact hours per week shall be compensated at the rate specified in Item 03 and must be pre-approved in writing by the Head of Department.</w:t>
      </w:r>
    </w:p>
    <w:p>
      <w:pPr>
        <w:numPr>
          <w:ilvl w:val="0"/>
          <w:numId w:val="1002"/>
        </w:numPr>
        <w:pStyle w:val="Compact"/>
      </w:pPr>
      <w:r>
        <w:t xml:space="preserve">This Quotation Estimate does not constitute a binding employment contract. A formal employment agreement, compliant with Japanese labor law and the Japan Kyoto municipal employment regulations, shall be executed prior to the commencement of duties.</w:t>
      </w:r>
    </w:p>
    <w:p>
      <w:pPr>
        <w:numPr>
          <w:ilvl w:val="0"/>
          <w:numId w:val="1002"/>
        </w:numPr>
        <w:pStyle w:val="Compact"/>
      </w:pPr>
      <w:r>
        <w:t xml:space="preserve">All intellectual property generated by the University Lecturer during the course of employment shall be governed by the institution’s standard IP policy, with fair attribution and co-ownership provisions as stipulated in the final contract.</w:t>
      </w:r>
    </w:p>
    <w:p>
      <w:pPr>
        <w:numPr>
          <w:ilvl w:val="0"/>
          <w:numId w:val="1002"/>
        </w:numPr>
        <w:pStyle w:val="Compact"/>
      </w:pPr>
      <w:r>
        <w:t xml:space="preserve">Disputes arising from the interpretation or execution of this quotation estimate shall be resolved through internal institutional mediation, with final arbitration conducted under the jurisdiction of the Kyoto District Court, Japan.</w:t>
      </w:r>
    </w:p>
    <w:bookmarkEnd w:id="24"/>
    <w:bookmarkStart w:id="25" w:name="payment-schedule"/>
    <w:p>
      <w:pPr>
        <w:pStyle w:val="Heading2"/>
      </w:pPr>
      <w:r>
        <w:t xml:space="preserve">5. Payment Schedule</w:t>
      </w:r>
    </w:p>
    <w:p>
      <w:pPr>
        <w:pStyle w:val="FirstParagraph"/>
      </w:pPr>
      <w:r>
        <w:t xml:space="preserve">Compensation for the University Lecturer shall be disbursed on a monthly basis via direct bank transfer to a Japanese financial institution account, with payments processed on the last business day of each calendar month. The annual performance bonus (Item 04) shall be paid in a lump sum during the month of March, coinciding with the conclusion of the Japan Kyoto academic year. The professional development budget (Item 09) shall be released in two installments: 60% at the start of the academic year and 40% upon submission of the annual activity report.</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Kyoto International University Consortium acknowledges and accepts the terms, conditions, and financial figures set forth in this Quotation Estimate for the engagement of a University Lecturer in Japan Kyoto. This acceptance does not obligate the institution to extend a formal offer of employment until all standard recruitment and vetting procedures have been satisfactorily completed.</w:t>
      </w:r>
    </w:p>
    <w:p>
      <w:pPr>
        <w:pStyle w:val="BodyText"/>
      </w:pPr>
      <w:r>
        <w:rPr>
          <w:bCs/>
          <w:b/>
        </w:rPr>
        <w:t xml:space="preserve">For and on behalf of:</w:t>
      </w:r>
      <w:r>
        <w:br/>
      </w:r>
      <w:r>
        <w:t xml:space="preserve">Kyoto International University Consortium</w:t>
      </w:r>
      <w:r>
        <w:br/>
      </w:r>
      <w:r>
        <w:t xml:space="preserve">Office of Academic Affairs</w:t>
      </w:r>
      <w:r>
        <w:br/>
      </w:r>
      <w:r>
        <w:br/>
      </w:r>
      <w:r>
        <w:t xml:space="preserve">Name: ______________________________</w:t>
      </w:r>
      <w:r>
        <w:br/>
      </w:r>
      <w:r>
        <w:t xml:space="preserve">Title: Dean, Faculty of Humanities &amp; Social Sciences</w:t>
      </w:r>
      <w:r>
        <w:br/>
      </w:r>
      <w:r>
        <w:t xml:space="preserve">Signature: ______________________________</w:t>
      </w:r>
      <w:r>
        <w:br/>
      </w:r>
      <w:r>
        <w:t xml:space="preserve">Date: ______________________________</w:t>
      </w:r>
    </w:p>
    <w:p>
      <w:pPr>
        <w:pStyle w:val="BodyText"/>
      </w:pPr>
      <w:r>
        <w:rPr>
          <w:bCs/>
          <w:b/>
        </w:rPr>
        <w:t xml:space="preserve">Reviewed and Approved By:</w:t>
      </w:r>
      <w:r>
        <w:br/>
      </w:r>
      <w:r>
        <w:t xml:space="preserve">University Finance &amp; Human Resources Division</w:t>
      </w:r>
      <w:r>
        <w:br/>
      </w:r>
      <w:r>
        <w:t xml:space="preserve">Kyoto, Japan</w:t>
      </w:r>
      <w:r>
        <w:br/>
      </w:r>
      <w:r>
        <w:br/>
      </w:r>
      <w:r>
        <w:t xml:space="preserve">Name: ______________________________</w:t>
      </w:r>
      <w:r>
        <w:br/>
      </w:r>
      <w:r>
        <w:t xml:space="preserve">Title: Director of Human Resources</w:t>
      </w:r>
      <w:r>
        <w:br/>
      </w:r>
      <w:r>
        <w:t xml:space="preserve">Signature: ______________________________</w:t>
      </w:r>
      <w:r>
        <w:br/>
      </w:r>
      <w:r>
        <w:t xml:space="preserve">Date: ______________________________</w:t>
      </w:r>
    </w:p>
    <w:p>
      <w:pPr>
        <w:pStyle w:val="BodyText"/>
      </w:pPr>
      <w:r>
        <w:t xml:space="preserve">Quotation Estimate No. KYU-2025-04782 — University Lecturer Engagement — Japan Kyoto</w:t>
      </w:r>
      <w:r>
        <w:br/>
      </w:r>
      <w:r>
        <w:t xml:space="preserve">Kyoto International University Consortium • 45-2 Sakyoku, Kyoto 606-8501, Japan • Tel: +81-75-XXXX-XXXX</w:t>
      </w:r>
      <w:r>
        <w:br/>
      </w: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Japan Kyoto</dc:title>
  <dc:creator/>
  <dc:language>en</dc:language>
  <cp:keywords/>
  <dcterms:created xsi:type="dcterms:W3CDTF">2026-10-10T05:53:48Z</dcterms:created>
  <dcterms:modified xsi:type="dcterms:W3CDTF">2026-10-10T05:53:48Z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