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University</w:t>
      </w:r>
      <w:r>
        <w:t xml:space="preserve"> </w:t>
      </w:r>
      <w:r>
        <w:t xml:space="preserve">Lecturer</w:t>
      </w:r>
      <w:r>
        <w:t xml:space="preserve"> </w:t>
      </w:r>
      <w:r>
        <w:t xml:space="preserve">-</w:t>
      </w:r>
      <w:r>
        <w:t xml:space="preserve"> </w:t>
      </w:r>
      <w:r>
        <w:t xml:space="preserve">Japan</w:t>
      </w:r>
      <w:r>
        <w:t xml:space="preserve"> </w:t>
      </w:r>
      <w:r>
        <w:t xml:space="preserve">Osaka</w:t>
      </w:r>
    </w:p>
    <w:bookmarkStart w:id="20" w:name="quotation-estimate"/>
    <w:p>
      <w:pPr>
        <w:pStyle w:val="Heading1"/>
      </w:pPr>
      <w:r>
        <w:t xml:space="preserve">QUOTATION ESTIMATE</w:t>
      </w:r>
    </w:p>
    <w:p>
      <w:pPr>
        <w:pStyle w:val="FirstParagraph"/>
      </w:pPr>
      <w:r>
        <w:t xml:space="preserve">Professional Academic Services — University Lecturer Engagement</w:t>
      </w:r>
    </w:p>
    <w:p>
      <w:pPr>
        <w:pStyle w:val="BodyText"/>
      </w:pPr>
      <w:r>
        <w:t xml:space="preserve">Document Reference: QE-OSK-2025-0417 | Issued for Japan Osaka Region</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QE-OSK-2025-0417</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September 2025 (90 days)</w:t>
            </w:r>
          </w:p>
        </w:tc>
        <w:tc>
          <w:tcPr/>
          <w:p>
            <w:pPr>
              <w:pStyle w:val="Compact"/>
              <w:jc w:val="left"/>
            </w:pPr>
            <w:r>
              <w:t xml:space="preserve">Currency</w:t>
            </w:r>
          </w:p>
        </w:tc>
        <w:tc>
          <w:tcPr/>
          <w:p>
            <w:pPr>
              <w:pStyle w:val="Compact"/>
              <w:jc w:val="left"/>
            </w:pPr>
            <w:r>
              <w:t xml:space="preserve">Japanese Yen (JPY)</w:t>
            </w:r>
          </w:p>
        </w:tc>
      </w:tr>
      <w:tr>
        <w:tc>
          <w:tcPr/>
          <w:p>
            <w:pPr>
              <w:pStyle w:val="Compact"/>
              <w:jc w:val="left"/>
            </w:pPr>
            <w:r>
              <w:t xml:space="preserve">Prepared By</w:t>
            </w:r>
          </w:p>
        </w:tc>
        <w:tc>
          <w:tcPr/>
          <w:p>
            <w:pPr>
              <w:pStyle w:val="Compact"/>
              <w:jc w:val="left"/>
            </w:pPr>
            <w:r>
              <w:t xml:space="preserve">Osaka Academic Recruitment Division</w:t>
            </w:r>
          </w:p>
        </w:tc>
        <w:tc>
          <w:tcPr/>
          <w:p>
            <w:pPr>
              <w:pStyle w:val="Compact"/>
              <w:jc w:val="left"/>
            </w:pPr>
            <w:r>
              <w:t xml:space="preserve">Location</w:t>
            </w:r>
          </w:p>
        </w:tc>
        <w:tc>
          <w:tcPr/>
          <w:p>
            <w:pPr>
              <w:pStyle w:val="Compact"/>
              <w:jc w:val="left"/>
            </w:pPr>
            <w:r>
              <w:t xml:space="preserve">Japan Osaka, Chuo-ku, Dotonbori Business District</w:t>
            </w:r>
          </w:p>
        </w:tc>
      </w:tr>
      <w:tr>
        <w:tc>
          <w:tcPr/>
          <w:p>
            <w:pPr>
              <w:pStyle w:val="Compact"/>
              <w:jc w:val="left"/>
            </w:pPr>
            <w:r>
              <w:t xml:space="preserve">Prepared For</w:t>
            </w:r>
          </w:p>
        </w:tc>
        <w:tc>
          <w:tcPr/>
          <w:p>
            <w:pPr>
              <w:pStyle w:val="Compact"/>
              <w:jc w:val="left"/>
            </w:pPr>
            <w:r>
              <w:t xml:space="preserve">Osaka Metropolitan University — Faculty of International Studies</w:t>
            </w:r>
          </w:p>
        </w:tc>
        <w:tc>
          <w:tcPr/>
          <w:p>
            <w:pPr>
              <w:pStyle w:val="Compact"/>
              <w:jc w:val="left"/>
            </w:pPr>
            <w:r>
              <w:t xml:space="preserve">Contact Person</w:t>
            </w:r>
          </w:p>
        </w:tc>
        <w:tc>
          <w:tcPr/>
          <w:p>
            <w:pPr>
              <w:pStyle w:val="Compact"/>
              <w:jc w:val="left"/>
            </w:pPr>
            <w:r>
              <w:t xml:space="preserve">Prof. Kenji Tanaka, Department Head</w:t>
            </w:r>
          </w:p>
        </w:tc>
      </w:tr>
      <w:tr>
        <w:tc>
          <w:tcPr/>
          <w:p>
            <w:pPr>
              <w:pStyle w:val="Compact"/>
              <w:jc w:val="left"/>
            </w:pPr>
            <w:r>
              <w:t xml:space="preserve">Position Title</w:t>
            </w:r>
          </w:p>
        </w:tc>
        <w:tc>
          <w:tcPr>
            <w:gridSpan w:val="3"/>
          </w:tcPr>
          <w:p>
            <w:pPr>
              <w:pStyle w:val="Compact"/>
              <w:jc w:val="left"/>
            </w:pPr>
            <w:r>
              <w:t xml:space="preserve">University Lecturer</w:t>
            </w:r>
            <w:r>
              <w:t xml:space="preserve"> </w:t>
            </w:r>
            <w:r>
              <w:t xml:space="preserve">— Department of Applied Economics &amp; Business Administration</w:t>
            </w:r>
          </w:p>
        </w:tc>
      </w:tr>
    </w:tbl>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document has been prepared in accordance with the academic hiring standards of the Japan Osaka metropolitan region. It outlines the comprehensive financial terms, professional obligations, and service deliverables associated with the engagement of a</w:t>
      </w:r>
      <w:r>
        <w:t xml:space="preserve"> </w:t>
      </w:r>
      <w:r>
        <w:t xml:space="preserve">University Lecturer</w:t>
      </w:r>
      <w:r>
        <w:t xml:space="preserve"> </w:t>
      </w:r>
      <w:r>
        <w:t xml:space="preserve">for the 2025–2026 academic year. The scope of this estimate covers all compensation, benefits, relocation support, and ancillary services required to facilitate the successful appointment of a qualified University Lecturer within the Japan Osaka higher education framework.</w:t>
      </w:r>
    </w:p>
    <w:p>
      <w:pPr>
        <w:pStyle w:val="BodyText"/>
      </w:pPr>
      <w:r>
        <w:t xml:space="preserve">The University Lecturer position described herein is intended for a full-time, tenure-track appointment at a recognized institution in Japan Osaka. The Quotation Estimate reflects current market rates for academic professionals in the Osaka-Kobe-Kyoto metropolitan area and complies with the Ministry of Education, Culture, Sports, Science and Technology (MEXT) guidelines governing international faculty recruitment in Japan Osaka.</w:t>
      </w:r>
    </w:p>
    <w:bookmarkEnd w:id="21"/>
    <w:bookmarkStart w:id="22"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Service / Item</w:t>
            </w:r>
          </w:p>
        </w:tc>
        <w:tc>
          <w:tcPr/>
          <w:p>
            <w:pPr>
              <w:pStyle w:val="Compact"/>
              <w:jc w:val="left"/>
            </w:pPr>
            <w:r>
              <w:t xml:space="preserve">Frequency</w:t>
            </w:r>
          </w:p>
        </w:tc>
        <w:tc>
          <w:tcPr/>
          <w:p>
            <w:pPr>
              <w:pStyle w:val="Compact"/>
              <w:jc w:val="left"/>
            </w:pPr>
            <w:r>
              <w:t xml:space="preserve">Amount (JPY)</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Base Annual Salary — University Lecturer (Full-Time, Tenure-Track)</w:t>
            </w:r>
          </w:p>
        </w:tc>
        <w:tc>
          <w:tcPr/>
          <w:p>
            <w:pPr>
              <w:pStyle w:val="Compact"/>
              <w:jc w:val="left"/>
            </w:pPr>
            <w:r>
              <w:t xml:space="preserve">Annual</w:t>
            </w:r>
          </w:p>
        </w:tc>
        <w:tc>
          <w:tcPr/>
          <w:p>
            <w:pPr>
              <w:pStyle w:val="Compact"/>
              <w:jc w:val="left"/>
            </w:pPr>
            <w:r>
              <w:t xml:space="preserve">8,400,000</w:t>
            </w:r>
          </w:p>
        </w:tc>
        <w:tc>
          <w:tcPr/>
          <w:p>
            <w:pPr>
              <w:pStyle w:val="Compact"/>
              <w:jc w:val="left"/>
            </w:pPr>
            <w:r>
              <w:t xml:space="preserve">Paid monthly in 12 installments</w:t>
            </w:r>
          </w:p>
        </w:tc>
      </w:tr>
      <w:tr>
        <w:tc>
          <w:tcPr/>
          <w:p>
            <w:pPr>
              <w:pStyle w:val="Compact"/>
              <w:jc w:val="left"/>
            </w:pPr>
            <w:r>
              <w:t xml:space="preserve">2</w:t>
            </w:r>
          </w:p>
        </w:tc>
        <w:tc>
          <w:tcPr/>
          <w:p>
            <w:pPr>
              <w:pStyle w:val="Compact"/>
              <w:jc w:val="left"/>
            </w:pPr>
            <w:r>
              <w:t xml:space="preserve">Academic Research Allowance</w:t>
            </w:r>
          </w:p>
        </w:tc>
        <w:tc>
          <w:tcPr/>
          <w:p>
            <w:pPr>
              <w:pStyle w:val="Compact"/>
              <w:jc w:val="left"/>
            </w:pPr>
            <w:r>
              <w:t xml:space="preserve">Annual</w:t>
            </w:r>
          </w:p>
        </w:tc>
        <w:tc>
          <w:tcPr/>
          <w:p>
            <w:pPr>
              <w:pStyle w:val="Compact"/>
              <w:jc w:val="left"/>
            </w:pPr>
            <w:r>
              <w:t xml:space="preserve">600,000</w:t>
            </w:r>
          </w:p>
        </w:tc>
        <w:tc>
          <w:tcPr/>
          <w:p>
            <w:pPr>
              <w:pStyle w:val="Compact"/>
              <w:jc w:val="left"/>
            </w:pPr>
            <w:r>
              <w:t xml:space="preserve">For publications, conference travel, and research materials</w:t>
            </w:r>
          </w:p>
        </w:tc>
      </w:tr>
      <w:tr>
        <w:tc>
          <w:tcPr/>
          <w:p>
            <w:pPr>
              <w:pStyle w:val="Compact"/>
              <w:jc w:val="left"/>
            </w:pPr>
            <w:r>
              <w:t xml:space="preserve">3</w:t>
            </w:r>
          </w:p>
        </w:tc>
        <w:tc>
          <w:tcPr/>
          <w:p>
            <w:pPr>
              <w:pStyle w:val="Compact"/>
              <w:jc w:val="left"/>
            </w:pPr>
            <w:r>
              <w:t xml:space="preserve">Housing Subsidy — Japan Osaka Metropolitan Area</w:t>
            </w:r>
          </w:p>
        </w:tc>
        <w:tc>
          <w:tcPr/>
          <w:p>
            <w:pPr>
              <w:pStyle w:val="Compact"/>
              <w:jc w:val="left"/>
            </w:pPr>
            <w:r>
              <w:t xml:space="preserve">Monthly</w:t>
            </w:r>
          </w:p>
        </w:tc>
        <w:tc>
          <w:tcPr/>
          <w:p>
            <w:pPr>
              <w:pStyle w:val="Compact"/>
              <w:jc w:val="left"/>
            </w:pPr>
            <w:r>
              <w:t xml:space="preserve">120,000</w:t>
            </w:r>
          </w:p>
        </w:tc>
        <w:tc>
          <w:tcPr/>
          <w:p>
            <w:pPr>
              <w:pStyle w:val="Compact"/>
              <w:jc w:val="left"/>
            </w:pPr>
            <w:r>
              <w:t xml:space="preserve">Coverage for accommodation in Chuo-ku, Nishi-ku, or Kita-ku districts</w:t>
            </w:r>
          </w:p>
        </w:tc>
      </w:tr>
      <w:tr>
        <w:tc>
          <w:tcPr/>
          <w:p>
            <w:pPr>
              <w:pStyle w:val="Compact"/>
              <w:jc w:val="left"/>
            </w:pPr>
            <w:r>
              <w:t xml:space="preserve">4</w:t>
            </w:r>
          </w:p>
        </w:tc>
        <w:tc>
          <w:tcPr/>
          <w:p>
            <w:pPr>
              <w:pStyle w:val="Compact"/>
              <w:jc w:val="left"/>
            </w:pPr>
            <w:r>
              <w:t xml:space="preserve">Relocation and Settlement Package (One-Time)</w:t>
            </w:r>
          </w:p>
        </w:tc>
        <w:tc>
          <w:tcPr/>
          <w:p>
            <w:pPr>
              <w:pStyle w:val="Compact"/>
              <w:jc w:val="left"/>
            </w:pPr>
            <w:r>
              <w:t xml:space="preserve">One-time</w:t>
            </w:r>
          </w:p>
        </w:tc>
        <w:tc>
          <w:tcPr/>
          <w:p>
            <w:pPr>
              <w:pStyle w:val="Compact"/>
              <w:jc w:val="left"/>
            </w:pPr>
            <w:r>
              <w:t xml:space="preserve">500,000</w:t>
            </w:r>
          </w:p>
        </w:tc>
        <w:tc>
          <w:tcPr/>
          <w:p>
            <w:pPr>
              <w:pStyle w:val="Compact"/>
              <w:jc w:val="left"/>
            </w:pPr>
            <w:r>
              <w:t xml:space="preserve">International airfare, visa processing, initial housing deposit, and local registration</w:t>
            </w:r>
          </w:p>
        </w:tc>
      </w:tr>
      <w:tr>
        <w:tc>
          <w:tcPr/>
          <w:p>
            <w:pPr>
              <w:pStyle w:val="Compact"/>
              <w:jc w:val="left"/>
            </w:pPr>
            <w:r>
              <w:t xml:space="preserve">5</w:t>
            </w:r>
          </w:p>
        </w:tc>
        <w:tc>
          <w:tcPr/>
          <w:p>
            <w:pPr>
              <w:pStyle w:val="Compact"/>
              <w:jc w:val="left"/>
            </w:pPr>
            <w:r>
              <w:t xml:space="preserve">Health Insurance and Pension Enrollment (University Contribution)</w:t>
            </w:r>
          </w:p>
        </w:tc>
        <w:tc>
          <w:tcPr/>
          <w:p>
            <w:pPr>
              <w:pStyle w:val="Compact"/>
              <w:jc w:val="left"/>
            </w:pPr>
            <w:r>
              <w:t xml:space="preserve">Annual</w:t>
            </w:r>
          </w:p>
        </w:tc>
        <w:tc>
          <w:tcPr/>
          <w:p>
            <w:pPr>
              <w:pStyle w:val="Compact"/>
              <w:jc w:val="left"/>
            </w:pPr>
            <w:r>
              <w:t xml:space="preserve">380,000</w:t>
            </w:r>
          </w:p>
        </w:tc>
        <w:tc>
          <w:tcPr/>
          <w:p>
            <w:pPr>
              <w:pStyle w:val="Compact"/>
              <w:jc w:val="left"/>
            </w:pPr>
            <w:r>
              <w:t xml:space="preserve">Japan national health insurance (Kokumin Kenko Hoken) and pension (Nenkin)</w:t>
            </w:r>
          </w:p>
        </w:tc>
      </w:tr>
      <w:tr>
        <w:tc>
          <w:tcPr/>
          <w:p>
            <w:pPr>
              <w:pStyle w:val="Compact"/>
              <w:jc w:val="left"/>
            </w:pPr>
            <w:r>
              <w:t xml:space="preserve">6</w:t>
            </w:r>
          </w:p>
        </w:tc>
        <w:tc>
          <w:tcPr/>
          <w:p>
            <w:pPr>
              <w:pStyle w:val="Compact"/>
              <w:jc w:val="left"/>
            </w:pPr>
            <w:r>
              <w:t xml:space="preserve">Japanese Language Training — JLPT Preparation Support</w:t>
            </w:r>
          </w:p>
        </w:tc>
        <w:tc>
          <w:tcPr/>
          <w:p>
            <w:pPr>
              <w:pStyle w:val="Compact"/>
              <w:jc w:val="left"/>
            </w:pPr>
            <w:r>
              <w:t xml:space="preserve">Annual</w:t>
            </w:r>
          </w:p>
        </w:tc>
        <w:tc>
          <w:tcPr/>
          <w:p>
            <w:pPr>
              <w:pStyle w:val="Compact"/>
              <w:jc w:val="left"/>
            </w:pPr>
            <w:r>
              <w:t xml:space="preserve">180,000</w:t>
            </w:r>
          </w:p>
        </w:tc>
        <w:tc>
          <w:tcPr/>
          <w:p>
            <w:pPr>
              <w:pStyle w:val="Compact"/>
              <w:jc w:val="left"/>
            </w:pPr>
            <w:r>
              <w:t xml:space="preserve">Enrollment in a certified Japanese language institute in Japan Osaka</w:t>
            </w:r>
          </w:p>
        </w:tc>
      </w:tr>
      <w:tr>
        <w:tc>
          <w:tcPr/>
          <w:p>
            <w:pPr>
              <w:pStyle w:val="Compact"/>
              <w:jc w:val="left"/>
            </w:pPr>
            <w:r>
              <w:t xml:space="preserve">7</w:t>
            </w:r>
          </w:p>
        </w:tc>
        <w:tc>
          <w:tcPr/>
          <w:p>
            <w:pPr>
              <w:pStyle w:val="Compact"/>
              <w:jc w:val="left"/>
            </w:pPr>
            <w:r>
              <w:t xml:space="preserve">Teaching Load Compensation (Exceeding Standard 18 Credits)</w:t>
            </w:r>
          </w:p>
        </w:tc>
        <w:tc>
          <w:tcPr/>
          <w:p>
            <w:pPr>
              <w:pStyle w:val="Compact"/>
              <w:jc w:val="left"/>
            </w:pPr>
            <w:r>
              <w:t xml:space="preserve">Per Credit</w:t>
            </w:r>
          </w:p>
        </w:tc>
        <w:tc>
          <w:tcPr/>
          <w:p>
            <w:pPr>
              <w:pStyle w:val="Compact"/>
              <w:jc w:val="left"/>
            </w:pPr>
            <w:r>
              <w:t xml:space="preserve">45,000</w:t>
            </w:r>
          </w:p>
        </w:tc>
        <w:tc>
          <w:tcPr/>
          <w:p>
            <w:pPr>
              <w:pStyle w:val="Compact"/>
              <w:jc w:val="left"/>
            </w:pPr>
            <w:r>
              <w:t xml:space="preserve">Applicable only for credits beyond the standard University Lecturer teaching load</w:t>
            </w:r>
          </w:p>
        </w:tc>
      </w:tr>
      <w:tr>
        <w:tc>
          <w:tcPr/>
          <w:p>
            <w:pPr>
              <w:pStyle w:val="Compact"/>
              <w:jc w:val="left"/>
            </w:pPr>
            <w:r>
              <w:t xml:space="preserve">8</w:t>
            </w:r>
          </w:p>
        </w:tc>
        <w:tc>
          <w:tcPr/>
          <w:p>
            <w:pPr>
              <w:pStyle w:val="Compact"/>
              <w:jc w:val="left"/>
            </w:pPr>
            <w:r>
              <w:t xml:space="preserve">Annual Performance Bonus (Merit-Based)</w:t>
            </w:r>
          </w:p>
        </w:tc>
        <w:tc>
          <w:tcPr/>
          <w:p>
            <w:pPr>
              <w:pStyle w:val="Compact"/>
              <w:jc w:val="left"/>
            </w:pPr>
            <w:r>
              <w:t xml:space="preserve">Annual</w:t>
            </w:r>
          </w:p>
        </w:tc>
        <w:tc>
          <w:tcPr/>
          <w:p>
            <w:pPr>
              <w:pStyle w:val="Compact"/>
              <w:jc w:val="left"/>
            </w:pPr>
            <w:r>
              <w:t xml:space="preserve">1,200,000</w:t>
            </w:r>
          </w:p>
        </w:tc>
        <w:tc>
          <w:tcPr/>
          <w:p>
            <w:pPr>
              <w:pStyle w:val="Compact"/>
              <w:jc w:val="left"/>
            </w:pPr>
            <w:r>
              <w:t xml:space="preserve">Disbursed in December and March, contingent on evaluation</w:t>
            </w:r>
          </w:p>
        </w:tc>
      </w:tr>
      <w:tr>
        <w:tc>
          <w:tcPr/>
          <w:p>
            <w:pPr>
              <w:pStyle w:val="Compact"/>
              <w:jc w:val="left"/>
            </w:pPr>
            <w:r>
              <w:t xml:space="preserve">9</w:t>
            </w:r>
          </w:p>
        </w:tc>
        <w:tc>
          <w:tcPr/>
          <w:p>
            <w:pPr>
              <w:pStyle w:val="Compact"/>
              <w:jc w:val="left"/>
            </w:pPr>
            <w:r>
              <w:t xml:space="preserve">Professional Development and Conference Travel (Japan Osaka Region)</w:t>
            </w:r>
          </w:p>
        </w:tc>
        <w:tc>
          <w:tcPr/>
          <w:p>
            <w:pPr>
              <w:pStyle w:val="Compact"/>
              <w:jc w:val="left"/>
            </w:pPr>
            <w:r>
              <w:t xml:space="preserve">Annual</w:t>
            </w:r>
          </w:p>
        </w:tc>
        <w:tc>
          <w:tcPr/>
          <w:p>
            <w:pPr>
              <w:pStyle w:val="Compact"/>
              <w:jc w:val="left"/>
            </w:pPr>
            <w:r>
              <w:t xml:space="preserve">250,000</w:t>
            </w:r>
          </w:p>
        </w:tc>
        <w:tc>
          <w:tcPr/>
          <w:p>
            <w:pPr>
              <w:pStyle w:val="Compact"/>
              <w:jc w:val="left"/>
            </w:pPr>
            <w:r>
              <w:t xml:space="preserve">Registration fees, local transport, and accommodation for academic conferences</w:t>
            </w:r>
          </w:p>
        </w:tc>
      </w:tr>
      <w:tr>
        <w:tc>
          <w:tcPr/>
          <w:p>
            <w:pPr>
              <w:pStyle w:val="Compact"/>
              <w:jc w:val="left"/>
            </w:pPr>
            <w:r>
              <w:t xml:space="preserve">10</w:t>
            </w:r>
          </w:p>
        </w:tc>
        <w:tc>
          <w:tcPr/>
          <w:p>
            <w:pPr>
              <w:pStyle w:val="Compact"/>
              <w:jc w:val="left"/>
            </w:pPr>
            <w:r>
              <w:t xml:space="preserve">Administrative and Onboarding Service Fee</w:t>
            </w:r>
          </w:p>
        </w:tc>
        <w:tc>
          <w:tcPr/>
          <w:p>
            <w:pPr>
              <w:pStyle w:val="Compact"/>
              <w:jc w:val="left"/>
            </w:pPr>
            <w:r>
              <w:t xml:space="preserve">One-time</w:t>
            </w:r>
          </w:p>
        </w:tc>
        <w:tc>
          <w:tcPr/>
          <w:p>
            <w:pPr>
              <w:pStyle w:val="Compact"/>
              <w:jc w:val="left"/>
            </w:pPr>
            <w:r>
              <w:t xml:space="preserve">150,000</w:t>
            </w:r>
          </w:p>
        </w:tc>
        <w:tc>
          <w:tcPr/>
          <w:p>
            <w:pPr>
              <w:pStyle w:val="Compact"/>
              <w:jc w:val="left"/>
            </w:pPr>
            <w:r>
              <w:t xml:space="preserve">Covers contract preparation, background verification, and HR processing in Japan Osaka</w:t>
            </w:r>
          </w:p>
        </w:tc>
      </w:tr>
      <w:tr>
        <w:tc>
          <w:tcPr>
            <w:gridSpan w:val="3"/>
          </w:tcPr>
          <w:p>
            <w:pPr>
              <w:pStyle w:val="Compact"/>
              <w:jc w:val="left"/>
            </w:pPr>
            <w:r>
              <w:t xml:space="preserve">TOTAL ESTIMATED ANNUAL COST (Year 1)</w:t>
            </w:r>
          </w:p>
        </w:tc>
        <w:tc>
          <w:tcPr/>
          <w:p>
            <w:pPr>
              <w:pStyle w:val="Compact"/>
              <w:jc w:val="left"/>
            </w:pPr>
            <w:r>
              <w:t xml:space="preserve">12,080,000</w:t>
            </w:r>
          </w:p>
        </w:tc>
        <w:tc>
          <w:tcPr/>
          <w:p>
            <w:pPr>
              <w:pStyle w:val="Compact"/>
              <w:jc w:val="left"/>
            </w:pPr>
            <w:r>
              <w:t xml:space="preserve">Approx. USD 80,533</w:t>
            </w:r>
          </w:p>
        </w:tc>
      </w:tr>
      <w:tr>
        <w:tc>
          <w:tcPr>
            <w:gridSpan w:val="3"/>
          </w:tcPr>
          <w:p>
            <w:pPr>
              <w:pStyle w:val="Compact"/>
              <w:jc w:val="left"/>
            </w:pPr>
            <w:r>
              <w:t xml:space="preserve">TOTAL ESTIMATED ANNUAL COST (Year 2 Onwards, excl. relocation)</w:t>
            </w:r>
          </w:p>
        </w:tc>
        <w:tc>
          <w:tcPr/>
          <w:p>
            <w:pPr>
              <w:pStyle w:val="Compact"/>
              <w:jc w:val="left"/>
            </w:pPr>
            <w:r>
              <w:t xml:space="preserve">11,580,000</w:t>
            </w:r>
          </w:p>
        </w:tc>
        <w:tc>
          <w:tcPr/>
          <w:p>
            <w:pPr>
              <w:pStyle w:val="Compact"/>
              <w:jc w:val="left"/>
            </w:pPr>
            <w:r>
              <w:t xml:space="preserve">Approx. USD 77,199</w:t>
            </w:r>
          </w:p>
        </w:tc>
      </w:tr>
    </w:tbl>
    <w:p>
      <w:pPr>
        <w:pStyle w:val="BodyText"/>
      </w:pPr>
      <w:r>
        <w:rPr>
          <w:bCs/>
          <w:b/>
        </w:rPr>
        <w:t xml:space="preserve">Note:</w:t>
      </w:r>
      <w:r>
        <w:t xml:space="preserve"> </w:t>
      </w:r>
      <w:r>
        <w:t xml:space="preserve">All figures in this Quotation Estimate are subject to a 10% annual adjustment based on the Japan Osaka Consumer Price Index (CPI) as published by the Osaka Regional Bureau of Statistics. The University Lecturer compensation structure is benchmarked against the 2025 MEXT salary survey for international faculty in the Kansai region.</w:t>
      </w:r>
    </w:p>
    <w:bookmarkEnd w:id="22"/>
    <w:bookmarkStart w:id="23" w:name="terms-and-conditions"/>
    <w:p>
      <w:pPr>
        <w:pStyle w:val="Heading2"/>
      </w:pPr>
      <w:r>
        <w:t xml:space="preserve">3. Terms and Conditions</w:t>
      </w:r>
    </w:p>
    <w:p>
      <w:pPr>
        <w:numPr>
          <w:ilvl w:val="0"/>
          <w:numId w:val="1001"/>
        </w:numPr>
        <w:pStyle w:val="Compact"/>
      </w:pPr>
      <w:r>
        <w:t xml:space="preserve">This Quotation Estimate is valid for a period of ninety (90) calendar days from the date of issue. Beyond this period, all figures must be re-verified against current Japan Osaka market conditions.</w:t>
      </w:r>
    </w:p>
    <w:p>
      <w:pPr>
        <w:numPr>
          <w:ilvl w:val="0"/>
          <w:numId w:val="1001"/>
        </w:numPr>
        <w:pStyle w:val="Compact"/>
      </w:pPr>
      <w:r>
        <w:t xml:space="preserve">The University Lecturer engagement is contingent upon successful completion of a minimum of two (2) interview rounds conducted at the host institution in Japan Osaka, as well as verification of academic credentials by the Japan Scholarship and Academic Evaluation Board.</w:t>
      </w:r>
    </w:p>
    <w:p>
      <w:pPr>
        <w:numPr>
          <w:ilvl w:val="0"/>
          <w:numId w:val="1001"/>
        </w:numPr>
        <w:pStyle w:val="Compact"/>
      </w:pPr>
      <w:r>
        <w:t xml:space="preserve">The initial contract term for the University Lecturer position shall be three (3) academic years, with the option for renewal subject to mutual agreement and satisfactory performance review.</w:t>
      </w:r>
    </w:p>
    <w:p>
      <w:pPr>
        <w:numPr>
          <w:ilvl w:val="0"/>
          <w:numId w:val="1001"/>
        </w:numPr>
        <w:pStyle w:val="Compact"/>
      </w:pPr>
      <w:r>
        <w:t xml:space="preserve">Payment terms: Base salary and housing subsidy shall be disbursed on the last business day of each month via direct bank transfer to a Japanese financial institution. The relocation package shall be paid in full within fourteen (14) days of the University Lecturer's arrival in Japan Osaka.</w:t>
      </w:r>
    </w:p>
    <w:p>
      <w:pPr>
        <w:numPr>
          <w:ilvl w:val="0"/>
          <w:numId w:val="1001"/>
        </w:numPr>
        <w:pStyle w:val="Compact"/>
      </w:pPr>
      <w:r>
        <w:t xml:space="preserve">Tax withholding shall be applied in accordance with the National Tax Agency of Japan regulations. The University Lecturer is responsible for filing an annual income tax return (Nenpuku Shinkoku) by the end of February of the following fiscal year.</w:t>
      </w:r>
    </w:p>
    <w:p>
      <w:pPr>
        <w:numPr>
          <w:ilvl w:val="0"/>
          <w:numId w:val="1001"/>
        </w:numPr>
        <w:pStyle w:val="Compact"/>
      </w:pPr>
      <w:r>
        <w:t xml:space="preserve">This Quotation Estimate does not constitute a binding employment contract. A formal employment agreement, compliant with Japan's Labor Standards Act and the specific bylaws of the host university in Japan Osaka, shall be executed upon mutual acceptance.</w:t>
      </w:r>
    </w:p>
    <w:p>
      <w:pPr>
        <w:numPr>
          <w:ilvl w:val="0"/>
          <w:numId w:val="1001"/>
        </w:numPr>
        <w:pStyle w:val="Compact"/>
      </w:pPr>
      <w:r>
        <w:t xml:space="preserve">Any modifications to the scope of services, teaching load, or compensation outlined in this Quotation Estimate must be documented in a written addendum signed by both parties.</w:t>
      </w:r>
    </w:p>
    <w:p>
      <w:pPr>
        <w:numPr>
          <w:ilvl w:val="0"/>
          <w:numId w:val="1001"/>
        </w:numPr>
        <w:pStyle w:val="Compact"/>
      </w:pPr>
      <w:r>
        <w:t xml:space="preserve">Disputes arising from this Quotation Estimate or the subsequent University Lecturer engagement shall be resolved through mediation in Japan Osaka, in accordance with the jurisdiction of the Osaka District Court.</w:t>
      </w:r>
    </w:p>
    <w:bookmarkEnd w:id="23"/>
    <w:bookmarkStart w:id="24" w:name="acceptance-and-authorization"/>
    <w:p>
      <w:pPr>
        <w:pStyle w:val="Heading2"/>
      </w:pPr>
      <w:r>
        <w:t xml:space="preserve">4. Acceptance and Authorization</w:t>
      </w:r>
    </w:p>
    <w:p>
      <w:pPr>
        <w:pStyle w:val="FirstParagraph"/>
      </w:pPr>
      <w:r>
        <w:t xml:space="preserve">By signing below, both parties acknowledge that they have read, understood, and agree to the terms set forth in this Quotation Estimate for the University Lecturer position in Japan Osaka. This document serves as the financial foundation for the subsequent formal employment contract.</w:t>
      </w:r>
    </w:p>
    <w:p>
      <w:pPr>
        <w:pStyle w:val="BodyText"/>
      </w:pPr>
      <w:r>
        <w:rPr>
          <w:bCs/>
          <w:b/>
        </w:rPr>
        <w:t xml:space="preserve">For the Institution (Prepared By):</w:t>
      </w:r>
    </w:p>
    <w:p>
      <w:pPr>
        <w:pStyle w:val="BodyText"/>
      </w:pPr>
      <w:r>
        <w:t xml:space="preserve">Name: Osaka Academic Recruitment Division</w:t>
      </w:r>
      <w:r>
        <w:br/>
      </w:r>
      <w:r>
        <w:t xml:space="preserve">Signature: _________________________</w:t>
      </w:r>
      <w:r>
        <w:br/>
      </w:r>
      <w:r>
        <w:t xml:space="preserve">Date: _________________________</w:t>
      </w:r>
    </w:p>
    <w:p>
      <w:pPr>
        <w:pStyle w:val="BodyText"/>
      </w:pPr>
      <w:r>
        <w:rPr>
          <w:bCs/>
          <w:b/>
        </w:rPr>
        <w:t xml:space="preserve">For the University Lecturer (Accepted By):</w:t>
      </w:r>
    </w:p>
    <w:p>
      <w:pPr>
        <w:pStyle w:val="BodyText"/>
      </w:pPr>
      <w:r>
        <w:t xml:space="preserve">Name: _________________________</w:t>
      </w:r>
      <w:r>
        <w:br/>
      </w:r>
      <w:r>
        <w:t xml:space="preserve">Signature: _________________________</w:t>
      </w:r>
      <w:r>
        <w:br/>
      </w:r>
      <w:r>
        <w:t xml:space="preserve">Date: _________________________</w:t>
      </w:r>
    </w:p>
    <w:p>
      <w:pPr>
        <w:pStyle w:val="BodyText"/>
      </w:pPr>
      <w:r>
        <w:t xml:space="preserve">This Quotation Estimate document (Ref: QE-OSK-2025-0417) was prepared exclusively for the University Lecturer appointment in Japan Osaka.</w:t>
      </w:r>
      <w:r>
        <w:t xml:space="preserve"> </w:t>
      </w:r>
      <w:r>
        <w:t xml:space="preserve">It is the property of the issuing institution and may not be reproduced or distributed without written consent.</w:t>
      </w:r>
      <w:r>
        <w:t xml:space="preserve"> </w:t>
      </w:r>
      <w:r>
        <w:t xml:space="preserve">© 2025 Osaka Academic Recruitment Division. All rights reserved.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University Lecturer - Japan Osaka</dc:title>
  <dc:creator/>
  <dc:language>en</dc:language>
  <cp:keywords/>
  <dcterms:created xsi:type="dcterms:W3CDTF">2026-10-10T04:23:56Z</dcterms:created>
  <dcterms:modified xsi:type="dcterms:W3CDTF">2026-10-10T04:23:56Z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content-width=device-width, initial-scale=1.0</vt:lpwstr>
  </property>
</Properties>
</file>