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Japan</w:t>
      </w:r>
      <w:r>
        <w:t xml:space="preserve"> </w:t>
      </w:r>
      <w:r>
        <w:t xml:space="preserve">Tokyo</w:t>
      </w:r>
    </w:p>
    <w:bookmarkStart w:id="21" w:name="quotation-estimate"/>
    <w:p>
      <w:pPr>
        <w:pStyle w:val="Heading1"/>
      </w:pPr>
      <w:r>
        <w:t xml:space="preserve">QUOTATION ESTIMATE</w:t>
      </w:r>
    </w:p>
    <w:bookmarkStart w:id="20" w:name="Xc96d77bd9da1336ca7253734cc506a5a63a8407"/>
    <w:p>
      <w:pPr>
        <w:pStyle w:val="Heading2"/>
      </w:pPr>
      <w:r>
        <w:t xml:space="preserve">University Lecturer Engagement — Japan Tokyo</w:t>
      </w:r>
    </w:p>
    <w:p>
      <w:pPr>
        <w:pStyle w:val="FirstParagraph"/>
      </w:pPr>
      <w:r>
        <w:t xml:space="preserve">Professional Academic Services &amp; International Education Consulting</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QTE-2025-TKY-0487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By</w:t>
            </w:r>
          </w:p>
        </w:tc>
        <w:tc>
          <w:tcPr/>
          <w:p>
            <w:pPr>
              <w:pStyle w:val="Compact"/>
              <w:jc w:val="left"/>
            </w:pPr>
            <w:r>
              <w:t xml:space="preserve">Dr. Kenji Yamamoto, Director of Academic Placement Services</w:t>
            </w:r>
          </w:p>
        </w:tc>
      </w:tr>
      <w:tr>
        <w:tc>
          <w:tcPr/>
          <w:p>
            <w:pPr>
              <w:pStyle w:val="Compact"/>
              <w:jc w:val="left"/>
            </w:pPr>
            <w:r>
              <w:t xml:space="preserve">Client / Institution</w:t>
            </w:r>
          </w:p>
        </w:tc>
        <w:tc>
          <w:tcPr/>
          <w:p>
            <w:pPr>
              <w:pStyle w:val="Compact"/>
              <w:jc w:val="left"/>
            </w:pPr>
            <w:r>
              <w:t xml:space="preserve">University of Tokyo, Faculty of Engineering, Bunkyo-ku, Tokyo, Japan</w:t>
            </w:r>
          </w:p>
        </w:tc>
      </w:tr>
      <w:tr>
        <w:tc>
          <w:tcPr/>
          <w:p>
            <w:pPr>
              <w:pStyle w:val="Compact"/>
              <w:jc w:val="left"/>
            </w:pPr>
            <w:r>
              <w:t xml:space="preserve">Position Title</w:t>
            </w:r>
          </w:p>
        </w:tc>
        <w:tc>
          <w:tcPr/>
          <w:p>
            <w:pPr>
              <w:pStyle w:val="Compact"/>
              <w:jc w:val="left"/>
            </w:pPr>
            <w:r>
              <w:t xml:space="preserve">University Lecturer (Tenure-Track), Department of Applied Sciences</w:t>
            </w:r>
          </w:p>
        </w:tc>
      </w:tr>
      <w:tr>
        <w:tc>
          <w:tcPr/>
          <w:p>
            <w:pPr>
              <w:pStyle w:val="Compact"/>
              <w:jc w:val="left"/>
            </w:pPr>
            <w:r>
              <w:t xml:space="preserve">Work Location</w:t>
            </w:r>
          </w:p>
        </w:tc>
        <w:tc>
          <w:tcPr/>
          <w:p>
            <w:pPr>
              <w:pStyle w:val="Compact"/>
              <w:jc w:val="left"/>
            </w:pPr>
            <w:r>
              <w:t xml:space="preserve">Japan Tokyo — Primary campus, Hongo, Bunkyo-ku, Tokyo 113-0033</w:t>
            </w:r>
          </w:p>
        </w:tc>
      </w:tr>
      <w:tr>
        <w:tc>
          <w:tcPr/>
          <w:p>
            <w:pPr>
              <w:pStyle w:val="Compact"/>
              <w:jc w:val="left"/>
            </w:pPr>
            <w:r>
              <w:t xml:space="preserve">Currency</w:t>
            </w:r>
          </w:p>
        </w:tc>
        <w:tc>
          <w:tcPr/>
          <w:p>
            <w:pPr>
              <w:pStyle w:val="Compact"/>
              <w:jc w:val="left"/>
            </w:pPr>
            <w:r>
              <w:t xml:space="preserve">Japanese Yen (JPY) / US Dollar (USD) equivalent</w:t>
            </w:r>
          </w:p>
        </w:tc>
      </w:tr>
    </w:tbl>
    <w:bookmarkStart w:id="22" w:name="purpose-of-this-quotation-estimate"/>
    <w:p>
      <w:pPr>
        <w:pStyle w:val="Heading3"/>
      </w:pPr>
      <w:r>
        <w:t xml:space="preserve">1. Purpose of This Quotation Estimate</w:t>
      </w:r>
    </w:p>
    <w:p>
      <w:pPr>
        <w:pStyle w:val="FirstParagraph"/>
      </w:pPr>
      <w:r>
        <w:t xml:space="preserve">This Quotation Estimate document is issued in formal response to the request for a comprehensive cost breakdown and professional engagement terms for the recruitment, onboarding, and annual compensation of a University Lecturer to be appointed at a leading academic institution in Japan Tokyo. The scope of this Quotation Estimate covers all financial, logistical, and administrative components associated with securing a qualified University Lecturer for the 2025–2026 academic year. All figures presented herein are estimates based on current market rates in Japan Tokyo and are subject to the terms and conditions outlined in Section 7 of this document.</w:t>
      </w:r>
    </w:p>
    <w:bookmarkEnd w:id="22"/>
    <w:bookmarkStart w:id="23" w:name="Xeb6c46b5f33ace7d4f62f5ab8b2bbcbfb01f360"/>
    <w:p>
      <w:pPr>
        <w:pStyle w:val="Heading3"/>
      </w:pPr>
      <w:r>
        <w:t xml:space="preserve">2. Scope of Services — University Lecturer Role</w:t>
      </w:r>
    </w:p>
    <w:p>
      <w:pPr>
        <w:pStyle w:val="FirstParagraph"/>
      </w:pPr>
      <w:r>
        <w:t xml:space="preserve">The University Lecturer position described in this Quotation Estimate entails the following core responsibilities:</w:t>
      </w:r>
    </w:p>
    <w:p>
      <w:pPr>
        <w:numPr>
          <w:ilvl w:val="0"/>
          <w:numId w:val="1001"/>
        </w:numPr>
        <w:pStyle w:val="Compact"/>
      </w:pPr>
      <w:r>
        <w:t xml:space="preserve">Delivery of undergraduate and graduate-level lectures (minimum 12 contact hours per week) in the fields of Applied Sciences, Materials Engineering, and Computational Methods.</w:t>
      </w:r>
    </w:p>
    <w:p>
      <w:pPr>
        <w:numPr>
          <w:ilvl w:val="0"/>
          <w:numId w:val="1001"/>
        </w:numPr>
        <w:pStyle w:val="Compact"/>
      </w:pPr>
      <w:r>
        <w:t xml:space="preserve">Supervision of a minimum of six (6) Master's thesis candidates and two (2) PhD candidates per academic year.</w:t>
      </w:r>
    </w:p>
    <w:p>
      <w:pPr>
        <w:numPr>
          <w:ilvl w:val="0"/>
          <w:numId w:val="1001"/>
        </w:numPr>
        <w:pStyle w:val="Compact"/>
      </w:pPr>
      <w:r>
        <w:t xml:space="preserve">Active participation in the research output of the department, including a target of no fewer than four (4) peer-reviewed publications annually in internationally indexed journals.</w:t>
      </w:r>
    </w:p>
    <w:p>
      <w:pPr>
        <w:numPr>
          <w:ilvl w:val="0"/>
          <w:numId w:val="1001"/>
        </w:numPr>
        <w:pStyle w:val="Compact"/>
      </w:pPr>
      <w:r>
        <w:t xml:space="preserve">Commitment to the Japan Tokyo academic community through participation in faculty senate meetings, curriculum review boards, and inter-university collaboration initiatives within the Tokyo metropolitan area.</w:t>
      </w:r>
    </w:p>
    <w:p>
      <w:pPr>
        <w:numPr>
          <w:ilvl w:val="0"/>
          <w:numId w:val="1001"/>
        </w:numPr>
        <w:pStyle w:val="Compact"/>
      </w:pPr>
      <w:r>
        <w:t xml:space="preserve">Mentoring of junior academic staff and postdoctoral researchers as part of the department's professional development programme.</w:t>
      </w:r>
    </w:p>
    <w:p>
      <w:pPr>
        <w:numPr>
          <w:ilvl w:val="0"/>
          <w:numId w:val="1001"/>
        </w:numPr>
        <w:pStyle w:val="Compact"/>
      </w:pPr>
      <w:r>
        <w:t xml:space="preserve">Representation of the institution at national and international conferences, with a minimum of two (2) conference presentations per year, preferably within Japan Tokyo or the broader Kanto region.</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Amount (JPY)</w:t>
            </w:r>
          </w:p>
        </w:tc>
        <w:tc>
          <w:tcPr/>
          <w:p>
            <w:pPr>
              <w:pStyle w:val="Compact"/>
              <w:jc w:val="left"/>
            </w:pPr>
            <w:r>
              <w:t xml:space="preserve">Amount (USD)</w:t>
            </w:r>
          </w:p>
        </w:tc>
      </w:tr>
      <w:tr>
        <w:tc>
          <w:tcPr/>
          <w:p>
            <w:pPr>
              <w:pStyle w:val="Compact"/>
              <w:jc w:val="left"/>
            </w:pPr>
            <w:r>
              <w:t xml:space="preserve">3.1</w:t>
            </w:r>
          </w:p>
        </w:tc>
        <w:tc>
          <w:tcPr/>
          <w:p>
            <w:pPr>
              <w:pStyle w:val="Compact"/>
              <w:jc w:val="left"/>
            </w:pPr>
            <w:r>
              <w:t xml:space="preserve">Annual Base Salary — University Lecturer (Tenure-Track, Grade B-3)</w:t>
            </w:r>
          </w:p>
        </w:tc>
        <w:tc>
          <w:tcPr/>
          <w:p>
            <w:pPr>
              <w:pStyle w:val="Compact"/>
              <w:jc w:val="left"/>
            </w:pPr>
            <w:r>
              <w:t xml:space="preserve">Annual</w:t>
            </w:r>
          </w:p>
        </w:tc>
        <w:tc>
          <w:tcPr/>
          <w:p>
            <w:pPr>
              <w:pStyle w:val="Compact"/>
              <w:jc w:val="left"/>
            </w:pPr>
            <w:r>
              <w:t xml:space="preserve">12,800,000</w:t>
            </w:r>
          </w:p>
        </w:tc>
        <w:tc>
          <w:tcPr/>
          <w:p>
            <w:pPr>
              <w:pStyle w:val="Compact"/>
              <w:jc w:val="left"/>
            </w:pPr>
            <w:r>
              <w:t xml:space="preserve">85,333</w:t>
            </w:r>
          </w:p>
        </w:tc>
      </w:tr>
      <w:tr>
        <w:tc>
          <w:tcPr/>
          <w:p>
            <w:pPr>
              <w:pStyle w:val="Compact"/>
              <w:jc w:val="left"/>
            </w:pPr>
            <w:r>
              <w:t xml:space="preserve">3.2</w:t>
            </w:r>
          </w:p>
        </w:tc>
        <w:tc>
          <w:tcPr/>
          <w:p>
            <w:pPr>
              <w:pStyle w:val="Compact"/>
              <w:jc w:val="left"/>
            </w:pPr>
            <w:r>
              <w:t xml:space="preserve">Research &amp; Publication Allowance</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7,999</w:t>
            </w:r>
          </w:p>
        </w:tc>
      </w:tr>
      <w:tr>
        <w:tc>
          <w:tcPr/>
          <w:p>
            <w:pPr>
              <w:pStyle w:val="Compact"/>
              <w:jc w:val="left"/>
            </w:pPr>
            <w:r>
              <w:t xml:space="preserve">3.3</w:t>
            </w:r>
          </w:p>
        </w:tc>
        <w:tc>
          <w:tcPr/>
          <w:p>
            <w:pPr>
              <w:pStyle w:val="Compact"/>
              <w:jc w:val="left"/>
            </w:pPr>
            <w:r>
              <w:t xml:space="preserve">Relocation &amp; Resettlement Package (one-time, for international candidates)</w:t>
            </w:r>
          </w:p>
        </w:tc>
        <w:tc>
          <w:tcPr/>
          <w:p>
            <w:pPr>
              <w:pStyle w:val="Compact"/>
              <w:jc w:val="left"/>
            </w:pPr>
            <w:r>
              <w:t xml:space="preserve">One-time</w:t>
            </w:r>
          </w:p>
        </w:tc>
        <w:tc>
          <w:tcPr/>
          <w:p>
            <w:pPr>
              <w:pStyle w:val="Compact"/>
              <w:jc w:val="left"/>
            </w:pPr>
            <w:r>
              <w:t xml:space="preserve">1,800,000</w:t>
            </w:r>
          </w:p>
        </w:tc>
        <w:tc>
          <w:tcPr/>
          <w:p>
            <w:pPr>
              <w:pStyle w:val="Compact"/>
              <w:jc w:val="left"/>
            </w:pPr>
            <w:r>
              <w:t xml:space="preserve">11,999</w:t>
            </w:r>
          </w:p>
        </w:tc>
      </w:tr>
      <w:tr>
        <w:tc>
          <w:tcPr/>
          <w:p>
            <w:pPr>
              <w:pStyle w:val="Compact"/>
              <w:jc w:val="left"/>
            </w:pPr>
            <w:r>
              <w:t xml:space="preserve">3.4</w:t>
            </w:r>
          </w:p>
        </w:tc>
        <w:tc>
          <w:tcPr/>
          <w:p>
            <w:pPr>
              <w:pStyle w:val="Compact"/>
              <w:jc w:val="left"/>
            </w:pPr>
            <w:r>
              <w:t xml:space="preserve">Housing Subsidy (Japan Tokyo metropolitan area, 12 months)</w:t>
            </w:r>
          </w:p>
        </w:tc>
        <w:tc>
          <w:tcPr/>
          <w:p>
            <w:pPr>
              <w:pStyle w:val="Compact"/>
              <w:jc w:val="left"/>
            </w:pPr>
            <w:r>
              <w:t xml:space="preserve">Annual</w:t>
            </w:r>
          </w:p>
        </w:tc>
        <w:tc>
          <w:tcPr/>
          <w:p>
            <w:pPr>
              <w:pStyle w:val="Compact"/>
              <w:jc w:val="left"/>
            </w:pPr>
            <w:r>
              <w:t xml:space="preserve">2,400,000</w:t>
            </w:r>
          </w:p>
        </w:tc>
        <w:tc>
          <w:tcPr/>
          <w:p>
            <w:pPr>
              <w:pStyle w:val="Compact"/>
              <w:jc w:val="left"/>
            </w:pPr>
            <w:r>
              <w:t xml:space="preserve">15,999</w:t>
            </w:r>
          </w:p>
        </w:tc>
      </w:tr>
      <w:tr>
        <w:tc>
          <w:tcPr/>
          <w:p>
            <w:pPr>
              <w:pStyle w:val="Compact"/>
              <w:jc w:val="left"/>
            </w:pPr>
            <w:r>
              <w:t xml:space="preserve">3.5</w:t>
            </w:r>
          </w:p>
        </w:tc>
        <w:tc>
          <w:tcPr/>
          <w:p>
            <w:pPr>
              <w:pStyle w:val="Compact"/>
              <w:jc w:val="left"/>
            </w:pPr>
            <w:r>
              <w:t xml:space="preserve">Health &amp; Life Insurance Premium (employer contribution)</w:t>
            </w:r>
          </w:p>
        </w:tc>
        <w:tc>
          <w:tcPr/>
          <w:p>
            <w:pPr>
              <w:pStyle w:val="Compact"/>
              <w:jc w:val="left"/>
            </w:pPr>
            <w:r>
              <w:t xml:space="preserve">Annual</w:t>
            </w:r>
          </w:p>
        </w:tc>
        <w:tc>
          <w:tcPr/>
          <w:p>
            <w:pPr>
              <w:pStyle w:val="Compact"/>
              <w:jc w:val="left"/>
            </w:pPr>
            <w:r>
              <w:t xml:space="preserve">480,000</w:t>
            </w:r>
          </w:p>
        </w:tc>
        <w:tc>
          <w:tcPr/>
          <w:p>
            <w:pPr>
              <w:pStyle w:val="Compact"/>
              <w:jc w:val="left"/>
            </w:pPr>
            <w:r>
              <w:t xml:space="preserve">3,199</w:t>
            </w:r>
          </w:p>
        </w:tc>
      </w:tr>
      <w:tr>
        <w:tc>
          <w:tcPr/>
          <w:p>
            <w:pPr>
              <w:pStyle w:val="Compact"/>
              <w:jc w:val="left"/>
            </w:pPr>
            <w:r>
              <w:t xml:space="preserve">3.6</w:t>
            </w:r>
          </w:p>
        </w:tc>
        <w:tc>
          <w:tcPr/>
          <w:p>
            <w:pPr>
              <w:pStyle w:val="Compact"/>
              <w:jc w:val="left"/>
            </w:pPr>
            <w:r>
              <w:t xml:space="preserve">Annual Performance &amp; Teaching Excellence Bonus (estimated)</w:t>
            </w:r>
          </w:p>
        </w:tc>
        <w:tc>
          <w:tcPr/>
          <w:p>
            <w:pPr>
              <w:pStyle w:val="Compact"/>
              <w:jc w:val="left"/>
            </w:pPr>
            <w:r>
              <w:t xml:space="preserve">Annual</w:t>
            </w:r>
          </w:p>
        </w:tc>
        <w:tc>
          <w:tcPr/>
          <w:p>
            <w:pPr>
              <w:pStyle w:val="Compact"/>
              <w:jc w:val="left"/>
            </w:pPr>
            <w:r>
              <w:t xml:space="preserve">960,000</w:t>
            </w:r>
          </w:p>
        </w:tc>
        <w:tc>
          <w:tcPr/>
          <w:p>
            <w:pPr>
              <w:pStyle w:val="Compact"/>
              <w:jc w:val="left"/>
            </w:pPr>
            <w:r>
              <w:t xml:space="preserve">6,399</w:t>
            </w:r>
          </w:p>
        </w:tc>
      </w:tr>
      <w:tr>
        <w:tc>
          <w:tcPr/>
          <w:p>
            <w:pPr>
              <w:pStyle w:val="Compact"/>
              <w:jc w:val="left"/>
            </w:pPr>
            <w:r>
              <w:t xml:space="preserve">3.7</w:t>
            </w:r>
          </w:p>
        </w:tc>
        <w:tc>
          <w:tcPr/>
          <w:p>
            <w:pPr>
              <w:pStyle w:val="Compact"/>
              <w:jc w:val="left"/>
            </w:pPr>
            <w:r>
              <w:t xml:space="preserve">Professional Development &amp; Conference Travel (Japan Tokyo &amp; international)</w:t>
            </w:r>
          </w:p>
        </w:tc>
        <w:tc>
          <w:tcPr/>
          <w:p>
            <w:pPr>
              <w:pStyle w:val="Compact"/>
              <w:jc w:val="left"/>
            </w:pPr>
            <w:r>
              <w:t xml:space="preserve">Annual</w:t>
            </w:r>
          </w:p>
        </w:tc>
        <w:tc>
          <w:tcPr/>
          <w:p>
            <w:pPr>
              <w:pStyle w:val="Compact"/>
              <w:jc w:val="left"/>
            </w:pPr>
            <w:r>
              <w:t xml:space="preserve">600,000</w:t>
            </w:r>
          </w:p>
        </w:tc>
        <w:tc>
          <w:tcPr/>
          <w:p>
            <w:pPr>
              <w:pStyle w:val="Compact"/>
              <w:jc w:val="left"/>
            </w:pPr>
            <w:r>
              <w:t xml:space="preserve">3,999</w:t>
            </w:r>
          </w:p>
        </w:tc>
      </w:tr>
      <w:tr>
        <w:tc>
          <w:tcPr/>
          <w:p>
            <w:pPr>
              <w:pStyle w:val="Compact"/>
              <w:jc w:val="left"/>
            </w:pPr>
            <w:r>
              <w:t xml:space="preserve">3.8</w:t>
            </w:r>
          </w:p>
        </w:tc>
        <w:tc>
          <w:tcPr/>
          <w:p>
            <w:pPr>
              <w:pStyle w:val="Compact"/>
              <w:jc w:val="left"/>
            </w:pPr>
            <w:r>
              <w:t xml:space="preserve">Recruitment &amp; Visa Processing Fees (J-Status Certificate, work permit)</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2,332</w:t>
            </w:r>
          </w:p>
        </w:tc>
      </w:tr>
      <w:tr>
        <w:tc>
          <w:tcPr/>
          <w:p>
            <w:pPr>
              <w:pStyle w:val="Compact"/>
              <w:jc w:val="left"/>
            </w:pPr>
            <w:r>
              <w:t xml:space="preserve">3.9</w:t>
            </w:r>
          </w:p>
        </w:tc>
        <w:tc>
          <w:tcPr/>
          <w:p>
            <w:pPr>
              <w:pStyle w:val="Compact"/>
              <w:jc w:val="left"/>
            </w:pPr>
            <w:r>
              <w:t xml:space="preserve">Onboarding, Orientation &amp; Japanese Language Training (3 months)</w:t>
            </w:r>
          </w:p>
        </w:tc>
        <w:tc>
          <w:tcPr/>
          <w:p>
            <w:pPr>
              <w:pStyle w:val="Compact"/>
              <w:jc w:val="left"/>
            </w:pPr>
            <w:r>
              <w:t xml:space="preserve">One-time</w:t>
            </w:r>
          </w:p>
        </w:tc>
        <w:tc>
          <w:tcPr/>
          <w:p>
            <w:pPr>
              <w:pStyle w:val="Compact"/>
              <w:jc w:val="left"/>
            </w:pPr>
            <w:r>
              <w:t xml:space="preserve">420,000</w:t>
            </w:r>
          </w:p>
        </w:tc>
        <w:tc>
          <w:tcPr/>
          <w:p>
            <w:pPr>
              <w:pStyle w:val="Compact"/>
              <w:jc w:val="left"/>
            </w:pPr>
            <w:r>
              <w:t xml:space="preserve">2,800</w:t>
            </w:r>
          </w:p>
        </w:tc>
      </w:tr>
      <w:tr>
        <w:tc>
          <w:tcPr/>
          <w:p>
            <w:pPr>
              <w:pStyle w:val="Compact"/>
              <w:jc w:val="left"/>
            </w:pPr>
            <w:r>
              <w:t xml:space="preserve">3.10</w:t>
            </w:r>
          </w:p>
        </w:tc>
        <w:tc>
          <w:tcPr/>
          <w:p>
            <w:pPr>
              <w:pStyle w:val="Compact"/>
              <w:jc w:val="left"/>
            </w:pPr>
            <w:r>
              <w:t xml:space="preserve">Administrative &amp; Compliance Oversight (annual audit, tax filing support)</w:t>
            </w:r>
          </w:p>
        </w:tc>
        <w:tc>
          <w:tcPr/>
          <w:p>
            <w:pPr>
              <w:pStyle w:val="Compact"/>
              <w:jc w:val="left"/>
            </w:pPr>
            <w:r>
              <w:t xml:space="preserve">Annual</w:t>
            </w:r>
          </w:p>
        </w:tc>
        <w:tc>
          <w:tcPr/>
          <w:p>
            <w:pPr>
              <w:pStyle w:val="Compact"/>
              <w:jc w:val="left"/>
            </w:pPr>
            <w:r>
              <w:t xml:space="preserve">280,000</w:t>
            </w:r>
          </w:p>
        </w:tc>
        <w:tc>
          <w:tcPr/>
          <w:p>
            <w:pPr>
              <w:pStyle w:val="Compact"/>
              <w:jc w:val="left"/>
            </w:pPr>
            <w:r>
              <w:t xml:space="preserve">1,866</w:t>
            </w:r>
          </w:p>
        </w:tc>
      </w:tr>
      <w:tr>
        <w:tc>
          <w:tcPr>
            <w:gridSpan w:val="3"/>
          </w:tcPr>
          <w:p>
            <w:pPr>
              <w:pStyle w:val="Compact"/>
              <w:jc w:val="left"/>
            </w:pPr>
            <w:r>
              <w:t xml:space="preserve">TOTAL ESTIMATED ANNUAL COST (Year 1, including one-time items)</w:t>
            </w:r>
          </w:p>
        </w:tc>
        <w:tc>
          <w:tcPr/>
          <w:p>
            <w:pPr>
              <w:pStyle w:val="Compact"/>
              <w:jc w:val="left"/>
            </w:pPr>
            <w:r>
              <w:t xml:space="preserve">21,290,000</w:t>
            </w:r>
          </w:p>
        </w:tc>
        <w:tc>
          <w:tcPr/>
          <w:p>
            <w:pPr>
              <w:pStyle w:val="Compact"/>
              <w:jc w:val="left"/>
            </w:pPr>
            <w:r>
              <w:t xml:space="preserve">141,926</w:t>
            </w:r>
          </w:p>
        </w:tc>
      </w:tr>
      <w:tr>
        <w:tc>
          <w:tcPr>
            <w:gridSpan w:val="3"/>
          </w:tcPr>
          <w:p>
            <w:pPr>
              <w:pStyle w:val="Compact"/>
              <w:jc w:val="left"/>
            </w:pPr>
            <w:r>
              <w:t xml:space="preserve">TOTAL ESTIMATED ANNUAL COST (Year 2 onwards, recurring only)</w:t>
            </w:r>
          </w:p>
        </w:tc>
        <w:tc>
          <w:tcPr/>
          <w:p>
            <w:pPr>
              <w:pStyle w:val="Compact"/>
              <w:jc w:val="left"/>
            </w:pPr>
            <w:r>
              <w:t xml:space="preserve">18,720,000</w:t>
            </w:r>
          </w:p>
        </w:tc>
        <w:tc>
          <w:tcPr/>
          <w:p>
            <w:pPr>
              <w:pStyle w:val="Compact"/>
              <w:jc w:val="left"/>
            </w:pPr>
            <w:r>
              <w:t xml:space="preserve">124,799</w:t>
            </w:r>
          </w:p>
        </w:tc>
      </w:tr>
    </w:tbl>
    <w:bookmarkEnd w:id="24"/>
    <w:bookmarkStart w:id="25" w:name="payment-schedule"/>
    <w:p>
      <w:pPr>
        <w:pStyle w:val="Heading3"/>
      </w:pPr>
      <w:r>
        <w:t xml:space="preserve">4. Payment Schedule</w:t>
      </w:r>
    </w:p>
    <w:p>
      <w:pPr>
        <w:pStyle w:val="FirstParagraph"/>
      </w:pPr>
      <w:r>
        <w:t xml:space="preserve">Payment for the University Lecturer engagement shall be processed in accordance with the following schedule, as stipulated in this Quotation Estimate:</w:t>
      </w:r>
    </w:p>
    <w:p>
      <w:pPr>
        <w:numPr>
          <w:ilvl w:val="0"/>
          <w:numId w:val="1002"/>
        </w:numPr>
        <w:pStyle w:val="Compact"/>
      </w:pPr>
      <w:r>
        <w:rPr>
          <w:bCs/>
          <w:b/>
        </w:rPr>
        <w:t xml:space="preserve">Base Salary:</w:t>
      </w:r>
      <w:r>
        <w:t xml:space="preserve"> </w:t>
      </w:r>
      <w:r>
        <w:t xml:space="preserve">Disbursed monthly in arrears on the 25th of each month via direct bank transfer to the University Lecturer's designated account in Japan Tokyo.</w:t>
      </w:r>
    </w:p>
    <w:p>
      <w:pPr>
        <w:numPr>
          <w:ilvl w:val="0"/>
          <w:numId w:val="1002"/>
        </w:numPr>
        <w:pStyle w:val="Compact"/>
      </w:pPr>
      <w:r>
        <w:rPr>
          <w:bCs/>
          <w:b/>
        </w:rPr>
        <w:t xml:space="preserve">Relocation &amp; Resettlement Package:</w:t>
      </w:r>
      <w:r>
        <w:t xml:space="preserve"> </w:t>
      </w:r>
      <w:r>
        <w:t xml:space="preserve">Paid in a single lump sum within fourteen (14) calendar days of the University Lecturer's confirmed arrival in Japan Tokyo.</w:t>
      </w:r>
    </w:p>
    <w:p>
      <w:pPr>
        <w:numPr>
          <w:ilvl w:val="0"/>
          <w:numId w:val="1002"/>
        </w:numPr>
        <w:pStyle w:val="Compact"/>
      </w:pPr>
      <w:r>
        <w:rPr>
          <w:bCs/>
          <w:b/>
        </w:rPr>
        <w:t xml:space="preserve">Housing Subsidy:</w:t>
      </w:r>
      <w:r>
        <w:t xml:space="preserve"> </w:t>
      </w:r>
      <w:r>
        <w:t xml:space="preserve">Disbursed quarterly in advance (January, April, July, October).</w:t>
      </w:r>
    </w:p>
    <w:p>
      <w:pPr>
        <w:numPr>
          <w:ilvl w:val="0"/>
          <w:numId w:val="1002"/>
        </w:numPr>
        <w:pStyle w:val="Compact"/>
      </w:pPr>
      <w:r>
        <w:rPr>
          <w:bCs/>
          <w:b/>
        </w:rPr>
        <w:t xml:space="preserve">Research Allowance &amp; Professional Development:</w:t>
      </w:r>
      <w:r>
        <w:t xml:space="preserve"> </w:t>
      </w:r>
      <w:r>
        <w:t xml:space="preserve">Disbursed semi-annually (October and April) upon submission of a brief activity report.</w:t>
      </w:r>
    </w:p>
    <w:p>
      <w:pPr>
        <w:numPr>
          <w:ilvl w:val="0"/>
          <w:numId w:val="1002"/>
        </w:numPr>
        <w:pStyle w:val="Compact"/>
      </w:pPr>
      <w:r>
        <w:rPr>
          <w:bCs/>
          <w:b/>
        </w:rPr>
        <w:t xml:space="preserve">Performance Bonus:</w:t>
      </w:r>
      <w:r>
        <w:t xml:space="preserve"> </w:t>
      </w:r>
      <w:r>
        <w:t xml:space="preserve">Paid in March of each fiscal year, contingent upon satisfactory completion of the annual performance review cycle.</w:t>
      </w:r>
    </w:p>
    <w:bookmarkEnd w:id="25"/>
    <w:bookmarkStart w:id="26" w:name="assumptions-exclusions"/>
    <w:p>
      <w:pPr>
        <w:pStyle w:val="Heading3"/>
      </w:pPr>
      <w:r>
        <w:t xml:space="preserve">5. Assumptions &amp; Exclusions</w:t>
      </w:r>
    </w:p>
    <w:p>
      <w:pPr>
        <w:pStyle w:val="FirstParagraph"/>
      </w:pPr>
      <w:r>
        <w:t xml:space="preserve">This Quotation Estimate is based on the following assumptions: the University Lecturer candidate holds a PhD in a relevant discipline; the candidate is eligible for a work visa under Japanese immigration law; and the appointment is for a minimum three-year tenure-track period. This estimate does not include costs associated with laboratory equipment procurement, student tuition waivers, or capital expenditure on departmental infrastructure. All tax obligations in Japan Tokyo are the responsibility of the University Lecturer, with employer withholding applied as per the National Tax Agency of Japan guidelines.</w:t>
      </w:r>
    </w:p>
    <w:bookmarkEnd w:id="26"/>
    <w:bookmarkStart w:id="27" w:name="validity-acceptance"/>
    <w:p>
      <w:pPr>
        <w:pStyle w:val="Heading3"/>
      </w:pPr>
      <w:r>
        <w:t xml:space="preserve">6. Validity &amp; Acceptance</w:t>
      </w:r>
    </w:p>
    <w:p>
      <w:pPr>
        <w:pStyle w:val="FirstParagraph"/>
      </w:pPr>
      <w:r>
        <w:t xml:space="preserve">This Quotation Estimate remains valid for thirty (30) days from the date of issue. Should the University of Tokyo wish to proceed with the engagement of the University Lecturer as outlined herein, a formal acceptance letter must be returned to the undersigned within the validity period. Any modifications to the scope, compensation structure, or terms must be documented in a written addendum to this Quotation Estimate and signed by both parties before implementation.</w:t>
      </w:r>
    </w:p>
    <w:bookmarkEnd w:id="27"/>
    <w:bookmarkStart w:id="30" w:name="terms-conditions"/>
    <w:p>
      <w:pPr>
        <w:pStyle w:val="Heading3"/>
      </w:pPr>
      <w:r>
        <w:t xml:space="preserve">7. Terms &amp; Conditions</w:t>
      </w:r>
    </w:p>
    <w:p>
      <w:pPr>
        <w:numPr>
          <w:ilvl w:val="0"/>
          <w:numId w:val="1003"/>
        </w:numPr>
        <w:pStyle w:val="Compact"/>
      </w:pPr>
      <w:r>
        <w:t xml:space="preserve">This Quotation Estimate constitutes a non-binding proposal until formally accepted in writing by the authorized representative of the University of Tokyo.</w:t>
      </w:r>
    </w:p>
    <w:p>
      <w:pPr>
        <w:numPr>
          <w:ilvl w:val="0"/>
          <w:numId w:val="1003"/>
        </w:numPr>
        <w:pStyle w:val="Compact"/>
      </w:pPr>
      <w:r>
        <w:t xml:space="preserve">All monetary values are quoted in Japanese Yen (JPY) with approximate US Dollar (USD) equivalents provided for reference only. The JPY amount shall prevail in the event of any discrepancy.</w:t>
      </w:r>
    </w:p>
    <w:p>
      <w:pPr>
        <w:numPr>
          <w:ilvl w:val="0"/>
          <w:numId w:val="1003"/>
        </w:numPr>
        <w:pStyle w:val="Compact"/>
      </w:pPr>
      <w:r>
        <w:t xml:space="preserve">The University Lecturer is expected to comply with all institutional policies, Japanese labour regulations, and the specific terms of the employment contract issued upon acceptance of this Quotation Estimate.</w:t>
      </w:r>
    </w:p>
    <w:p>
      <w:pPr>
        <w:numPr>
          <w:ilvl w:val="0"/>
          <w:numId w:val="1003"/>
        </w:numPr>
        <w:pStyle w:val="Compact"/>
      </w:pPr>
      <w:r>
        <w:t xml:space="preserve">Early termination of the University Lecturer engagement prior to the completion of the three-year tenure-track period may be subject to a pro-rata repayment of the relocation and resettlement package, as detailed in the employment contract.</w:t>
      </w:r>
    </w:p>
    <w:p>
      <w:pPr>
        <w:numPr>
          <w:ilvl w:val="0"/>
          <w:numId w:val="1003"/>
        </w:numPr>
        <w:pStyle w:val="Compact"/>
      </w:pPr>
      <w:r>
        <w:t xml:space="preserve">Disputes arising from this Quotation Estimate or the subsequent employment arrangement shall be governed by the laws of Japan and adjudicated in the competent courts of Tokyo, Japan.</w:t>
      </w:r>
    </w:p>
    <w:p>
      <w:pPr>
        <w:numPr>
          <w:ilvl w:val="0"/>
          <w:numId w:val="1003"/>
        </w:numPr>
        <w:pStyle w:val="Compact"/>
      </w:pPr>
      <w:r>
        <w:t xml:space="preserve">This Quotation Estimate does not constitute a guarantee of employment. Final appointment is subject to successful completion of the university's internal hiring and vetting procedures.</w:t>
      </w:r>
    </w:p>
    <w:bookmarkStart w:id="28" w:name="prepared-issued-by"/>
    <w:p>
      <w:pPr>
        <w:pStyle w:val="Heading4"/>
      </w:pPr>
      <w:r>
        <w:t xml:space="preserve">Prepared &amp; Issued By</w:t>
      </w:r>
    </w:p>
    <w:p>
      <w:pPr>
        <w:pStyle w:val="FirstParagraph"/>
      </w:pPr>
      <w:r>
        <w:t xml:space="preserve">Dr. Kenji Yamamoto</w:t>
      </w:r>
      <w:r>
        <w:br/>
      </w:r>
      <w:r>
        <w:t xml:space="preserve">Director, Academic Placement Services</w:t>
      </w:r>
      <w:r>
        <w:br/>
      </w:r>
      <w:r>
        <w:t xml:space="preserve">Tokyo, Japan</w:t>
      </w:r>
      <w:r>
        <w:br/>
      </w:r>
      <w:r>
        <w:t xml:space="preserve">Date: _______________</w:t>
      </w:r>
    </w:p>
    <w:p>
      <w:pPr>
        <w:pStyle w:val="BodyText"/>
      </w:pPr>
      <w:r>
        <w:t xml:space="preserve">Signature: ___________________________</w:t>
      </w:r>
    </w:p>
    <w:bookmarkEnd w:id="28"/>
    <w:bookmarkStart w:id="29" w:name="accepted-by-university-of-tokyo"/>
    <w:p>
      <w:pPr>
        <w:pStyle w:val="Heading4"/>
      </w:pPr>
      <w:r>
        <w:t xml:space="preserve">Accepted By (University of Tokyo)</w:t>
      </w:r>
    </w:p>
    <w:p>
      <w:pPr>
        <w:pStyle w:val="FirstParagraph"/>
      </w:pPr>
      <w:r>
        <w:t xml:space="preserve">Authorized Representative, Faculty of Engineering</w:t>
      </w:r>
      <w:r>
        <w:br/>
      </w:r>
      <w:r>
        <w:t xml:space="preserve">University of Tokyo, Bunkyo-ku, Tokyo, Japan</w:t>
      </w:r>
      <w:r>
        <w:br/>
      </w:r>
      <w:r>
        <w:t xml:space="preserve">Date: _______________</w:t>
      </w:r>
    </w:p>
    <w:p>
      <w:pPr>
        <w:pStyle w:val="BodyText"/>
      </w:pPr>
      <w:r>
        <w:t xml:space="preserve">Signature: ___________________________</w:t>
      </w:r>
      <w:r>
        <w:br/>
      </w:r>
      <w:r>
        <w:t xml:space="preserve">Official Seal: ___________________________</w:t>
      </w:r>
    </w:p>
    <w:bookmarkEnd w:id="29"/>
    <w:p>
      <w:pPr>
        <w:pStyle w:val="BodyText"/>
      </w:pPr>
      <w:r>
        <w:t xml:space="preserve">Quotation Estimate No. QTE-2025-TKY-0487 — University Lecturer Engagement — Japan Tokyo</w:t>
      </w:r>
      <w:r>
        <w:br/>
      </w:r>
      <w:r>
        <w:t xml:space="preserve">This document is confidential and intended solely for the use of the named institution. Unauthorized distribution is prohibited.</w:t>
      </w:r>
      <w:r>
        <w:br/>
      </w:r>
      <w:r>
        <w:t xml:space="preserve">© 2025 Academic Placement Services, Tokyo.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Japan Tokyo</dc:title>
  <dc:creator/>
  <dc:language>en</dc:language>
  <cp:keywords/>
  <dcterms:created xsi:type="dcterms:W3CDTF">2026-10-10T04:25:13Z</dcterms:created>
  <dcterms:modified xsi:type="dcterms:W3CDTF">2026-10-10T04:25:13Z</dcterms:modified>
</cp:coreProperties>
</file>

<file path=docProps/custom.xml><?xml version="1.0" encoding="utf-8"?>
<Properties xmlns="http://schemas.openxmlformats.org/officeDocument/2006/custom-properties" xmlns:vt="http://schemas.openxmlformats.org/officeDocument/2006/docPropsVTypes"/>
</file>