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Kazakhstan</w:t>
      </w:r>
      <w:r>
        <w:t xml:space="preserve"> </w:t>
      </w:r>
      <w:r>
        <w:t xml:space="preserve">Almaty</w:t>
      </w:r>
    </w:p>
    <w:bookmarkStart w:id="20" w:name="quotation-estimate"/>
    <w:p>
      <w:pPr>
        <w:pStyle w:val="Heading1"/>
      </w:pPr>
      <w:r>
        <w:t xml:space="preserve">QUOTATION ESTIMATE</w:t>
      </w:r>
    </w:p>
    <w:p>
      <w:pPr>
        <w:pStyle w:val="FirstParagraph"/>
      </w:pPr>
      <w:r>
        <w:t xml:space="preserve">Professional Academic Staffing Services — University Lecturer Position</w:t>
      </w:r>
    </w:p>
    <w:p>
      <w:pPr>
        <w:pStyle w:val="BodyText"/>
      </w:pPr>
      <w:r>
        <w:t xml:space="preserve">Kazakhstan Almaty | Academic Year 2025–2026</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QE-KZ-ALM-2025-0472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Prepared By</w:t>
            </w:r>
          </w:p>
        </w:tc>
        <w:tc>
          <w:tcPr/>
          <w:p>
            <w:pPr>
              <w:pStyle w:val="Compact"/>
              <w:jc w:val="left"/>
            </w:pPr>
            <w:r>
              <w:t xml:space="preserve">Academic Recruitment &amp; Staffing Division, Eurasia Higher Education Consultants LLP</w:t>
            </w:r>
          </w:p>
        </w:tc>
      </w:tr>
      <w:tr>
        <w:tc>
          <w:tcPr/>
          <w:p>
            <w:pPr>
              <w:pStyle w:val="Compact"/>
              <w:jc w:val="left"/>
            </w:pPr>
            <w:r>
              <w:t xml:space="preserve">Prepared For</w:t>
            </w:r>
          </w:p>
        </w:tc>
        <w:tc>
          <w:tcPr/>
          <w:p>
            <w:pPr>
              <w:pStyle w:val="Compact"/>
              <w:jc w:val="left"/>
            </w:pPr>
            <w:r>
              <w:t xml:space="preserve">Al-Farabi Kazakh National University, Almaty, Kazakhstan</w:t>
            </w:r>
          </w:p>
        </w:tc>
      </w:tr>
      <w:tr>
        <w:tc>
          <w:tcPr/>
          <w:p>
            <w:pPr>
              <w:pStyle w:val="Compact"/>
              <w:jc w:val="left"/>
            </w:pPr>
            <w:r>
              <w:t xml:space="preserve">Position</w:t>
            </w:r>
          </w:p>
        </w:tc>
        <w:tc>
          <w:tcPr/>
          <w:p>
            <w:pPr>
              <w:pStyle w:val="Compact"/>
              <w:jc w:val="left"/>
            </w:pPr>
            <w:r>
              <w:t xml:space="preserve">University Lecturer — Department of International Business &amp; Economics</w:t>
            </w:r>
          </w:p>
        </w:tc>
      </w:tr>
      <w:tr>
        <w:tc>
          <w:tcPr/>
          <w:p>
            <w:pPr>
              <w:pStyle w:val="Compact"/>
              <w:jc w:val="left"/>
            </w:pPr>
            <w:r>
              <w:t xml:space="preserve">Location</w:t>
            </w:r>
          </w:p>
        </w:tc>
        <w:tc>
          <w:tcPr/>
          <w:p>
            <w:pPr>
              <w:pStyle w:val="Compact"/>
              <w:jc w:val="left"/>
            </w:pPr>
            <w:r>
              <w:t xml:space="preserve">Almaty, Kazakhstan (On-Campus &amp; Hybrid Instruction)</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Eurasia Higher Education Consultants LLP in response to the recruitment request submitted by Al-Farabi Kazakh National University for the engagement of a qualified</w:t>
      </w:r>
      <w:r>
        <w:t xml:space="preserve"> </w:t>
      </w:r>
      <w:r>
        <w:t xml:space="preserve">University Lecturer</w:t>
      </w:r>
      <w:r>
        <w:t xml:space="preserve"> </w:t>
      </w:r>
      <w:r>
        <w:t xml:space="preserve">to deliver undergraduate and postgraduate coursework in the field of International Business and Economics. The position is based in</w:t>
      </w:r>
      <w:r>
        <w:t xml:space="preserve"> </w:t>
      </w:r>
      <w:r>
        <w:t xml:space="preserve">Kazakhstan Almaty</w:t>
      </w:r>
      <w:r>
        <w:t xml:space="preserve">, the capital city and primary academic hub of the Republic of Kazakhstan. This document outlines the full scope of services, compensation structure, contractual obligations, and associated costs for the academic engagement period spanning the 2025–2026 academic year (September 2025 through June 2026).</w:t>
      </w:r>
    </w:p>
    <w:bookmarkEnd w:id="21"/>
    <w:bookmarkStart w:id="22" w:name="scope-of-services"/>
    <w:p>
      <w:pPr>
        <w:pStyle w:val="Heading2"/>
      </w:pPr>
      <w:r>
        <w:t xml:space="preserve">2. Scope of Services</w:t>
      </w:r>
    </w:p>
    <w:p>
      <w:pPr>
        <w:pStyle w:val="FirstParagraph"/>
      </w:pPr>
      <w:r>
        <w:t xml:space="preserve">The</w:t>
      </w:r>
      <w:r>
        <w:t xml:space="preserve"> </w:t>
      </w:r>
      <w:r>
        <w:t xml:space="preserve">University Lecturer</w:t>
      </w:r>
      <w:r>
        <w:t xml:space="preserve"> </w:t>
      </w:r>
      <w:r>
        <w:t xml:space="preserve">engaged under this</w:t>
      </w:r>
      <w:r>
        <w:t xml:space="preserve"> </w:t>
      </w:r>
      <w:r>
        <w:t xml:space="preserve">Quotation Estimate</w:t>
      </w:r>
      <w:r>
        <w:t xml:space="preserve"> </w:t>
      </w:r>
      <w:r>
        <w:t xml:space="preserve">shall perform the following duties and responsibilities within the academic framework of the host institution in</w:t>
      </w:r>
      <w:r>
        <w:t xml:space="preserve"> </w:t>
      </w:r>
      <w:r>
        <w:t xml:space="preserve">Kazakhstan Almaty</w:t>
      </w:r>
      <w:r>
        <w:t xml:space="preserve">:</w:t>
      </w:r>
    </w:p>
    <w:p>
      <w:pPr>
        <w:numPr>
          <w:ilvl w:val="0"/>
          <w:numId w:val="1001"/>
        </w:numPr>
        <w:pStyle w:val="Compact"/>
      </w:pPr>
      <w:r>
        <w:t xml:space="preserve">Delivery of a minimum of 240 contact hours per academic year across two semesters, including lectures, seminars, and practical workshops for both undergraduate (BSc) and postgraduate (MSc) programmes.</w:t>
      </w:r>
    </w:p>
    <w:p>
      <w:pPr>
        <w:numPr>
          <w:ilvl w:val="0"/>
          <w:numId w:val="1001"/>
        </w:numPr>
        <w:pStyle w:val="Compact"/>
      </w:pPr>
      <w:r>
        <w:t xml:space="preserve">Development and continuous updating of course syllabi, lecture materials, assessment instruments, and digital learning resources aligned with the national higher education standards of Kazakhstan and international accreditation benchmarks.</w:t>
      </w:r>
    </w:p>
    <w:p>
      <w:pPr>
        <w:numPr>
          <w:ilvl w:val="0"/>
          <w:numId w:val="1001"/>
        </w:numPr>
        <w:pStyle w:val="Compact"/>
      </w:pPr>
      <w:r>
        <w:t xml:space="preserve">Supervision of a maximum of eight (8) postgraduate research students, including thesis guidance, progress reviews, and examination participation.</w:t>
      </w:r>
    </w:p>
    <w:p>
      <w:pPr>
        <w:numPr>
          <w:ilvl w:val="0"/>
          <w:numId w:val="1001"/>
        </w:numPr>
        <w:pStyle w:val="Compact"/>
      </w:pPr>
      <w:r>
        <w:t xml:space="preserve">Active participation in departmental meetings, faculty senate sessions, curriculum review committees, and institutional quality assurance processes as mandated by the university governance structure in Almaty.</w:t>
      </w:r>
    </w:p>
    <w:p>
      <w:pPr>
        <w:numPr>
          <w:ilvl w:val="0"/>
          <w:numId w:val="1001"/>
        </w:numPr>
        <w:pStyle w:val="Compact"/>
      </w:pPr>
      <w:r>
        <w:t xml:space="preserve">Contribution to at least two (2) peer-reviewed academic publications or conference presentations per academic year in the field of international business, trade economics, or related disciplines.</w:t>
      </w:r>
    </w:p>
    <w:p>
      <w:pPr>
        <w:numPr>
          <w:ilvl w:val="0"/>
          <w:numId w:val="1001"/>
        </w:numPr>
        <w:pStyle w:val="Compact"/>
      </w:pPr>
      <w:r>
        <w:t xml:space="preserve">Engagement in community outreach, industry partnerships, and professional development activities that enhance the university's standing within the broader academic landscape of Kazakhstan and the wider Central Asian region.</w:t>
      </w:r>
    </w:p>
    <w:p>
      <w:pPr>
        <w:numPr>
          <w:ilvl w:val="0"/>
          <w:numId w:val="1001"/>
        </w:numPr>
        <w:pStyle w:val="Compact"/>
      </w:pPr>
      <w:r>
        <w:t xml:space="preserve">Compliance with all institutional policies, the Higher Education Law of the Republic of Kazakhstan, and applicable labour regulations governing academic staff in Almaty.</w:t>
      </w:r>
    </w:p>
    <w:bookmarkEnd w:id="22"/>
    <w:bookmarkStart w:id="23" w:name="compensation-and-cost-breakdown"/>
    <w:p>
      <w:pPr>
        <w:pStyle w:val="Heading2"/>
      </w:pPr>
      <w:r>
        <w:t xml:space="preserve">3. Compensation and Cost Breakdown</w:t>
      </w:r>
    </w:p>
    <w:p>
      <w:pPr>
        <w:pStyle w:val="FirstParagraph"/>
      </w:pPr>
      <w:r>
        <w:t xml:space="preserve">The following</w:t>
      </w:r>
      <w:r>
        <w:t xml:space="preserve"> </w:t>
      </w:r>
      <w:r>
        <w:t xml:space="preserve">Quotation Estimate</w:t>
      </w:r>
      <w:r>
        <w:t xml:space="preserve"> </w:t>
      </w:r>
      <w:r>
        <w:t xml:space="preserve">details the total cost structure for the engagement of the</w:t>
      </w:r>
      <w:r>
        <w:t xml:space="preserve"> </w:t>
      </w:r>
      <w:r>
        <w:t xml:space="preserve">University Lecturer</w:t>
      </w:r>
      <w:r>
        <w:t xml:space="preserve"> </w:t>
      </w:r>
      <w:r>
        <w:t xml:space="preserve">position in</w:t>
      </w:r>
      <w:r>
        <w:t xml:space="preserve"> </w:t>
      </w:r>
      <w:r>
        <w:t xml:space="preserve">Kazakhstan Almaty</w:t>
      </w:r>
      <w:r>
        <w:t xml:space="preserve">. All monetary values are expressed in US Dollars (USD) unless otherwise stated, with reference exchange rates based on the National Bank of Kazakhstan published rates.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 Cost Component</w:t>
            </w:r>
          </w:p>
        </w:tc>
        <w:tc>
          <w:tcPr/>
          <w:p>
            <w:pPr>
              <w:pStyle w:val="Compact"/>
              <w:jc w:val="left"/>
            </w:pPr>
            <w:r>
              <w:t xml:space="preserve">Frequency</w:t>
            </w:r>
          </w:p>
        </w:tc>
        <w:tc>
          <w:tcPr/>
          <w:p>
            <w:pPr>
              <w:pStyle w:val="Compact"/>
              <w:jc w:val="left"/>
            </w:pPr>
            <w:r>
              <w:t xml:space="preserve">Amount (USD)</w:t>
            </w:r>
          </w:p>
        </w:tc>
        <w:tc>
          <w:tcPr/>
          <w:p>
            <w:pPr>
              <w:pStyle w:val="Compact"/>
              <w:jc w:val="left"/>
            </w:pPr>
            <w:r>
              <w:t xml:space="preserve">Notes</w:t>
            </w:r>
          </w:p>
        </w:tc>
      </w:tr>
      <w:tr>
        <w:tc>
          <w:tcPr/>
          <w:p>
            <w:pPr>
              <w:pStyle w:val="Compact"/>
              <w:jc w:val="left"/>
            </w:pPr>
            <w:r>
              <w:t xml:space="preserve">Base Monthly Salary (University Lecturer)</w:t>
            </w:r>
          </w:p>
        </w:tc>
        <w:tc>
          <w:tcPr/>
          <w:p>
            <w:pPr>
              <w:pStyle w:val="Compact"/>
              <w:jc w:val="left"/>
            </w:pPr>
            <w:r>
              <w:t xml:space="preserve">Monthly (10 months)</w:t>
            </w:r>
          </w:p>
        </w:tc>
        <w:tc>
          <w:tcPr/>
          <w:p>
            <w:pPr>
              <w:pStyle w:val="Compact"/>
              <w:jc w:val="left"/>
            </w:pPr>
            <w:r>
              <w:t xml:space="preserve">$3,200.00</w:t>
            </w:r>
          </w:p>
        </w:tc>
        <w:tc>
          <w:tcPr/>
          <w:p>
            <w:pPr>
              <w:pStyle w:val="Compact"/>
              <w:jc w:val="left"/>
            </w:pPr>
            <w:r>
              <w:t xml:space="preserve">Net of personal income tax (10% PIT per KZ law)</w:t>
            </w:r>
          </w:p>
        </w:tc>
      </w:tr>
      <w:tr>
        <w:tc>
          <w:tcPr/>
          <w:p>
            <w:pPr>
              <w:pStyle w:val="Compact"/>
              <w:jc w:val="left"/>
            </w:pPr>
            <w:r>
              <w:t xml:space="preserve">Academic Qualification Allowance (PhD)</w:t>
            </w:r>
          </w:p>
        </w:tc>
        <w:tc>
          <w:tcPr/>
          <w:p>
            <w:pPr>
              <w:pStyle w:val="Compact"/>
              <w:jc w:val="left"/>
            </w:pPr>
            <w:r>
              <w:t xml:space="preserve">Monthly (10 months)</w:t>
            </w:r>
          </w:p>
        </w:tc>
        <w:tc>
          <w:tcPr/>
          <w:p>
            <w:pPr>
              <w:pStyle w:val="Compact"/>
              <w:jc w:val="left"/>
            </w:pPr>
            <w:r>
              <w:t xml:space="preserve">$450.00</w:t>
            </w:r>
          </w:p>
        </w:tc>
        <w:tc>
          <w:tcPr/>
          <w:p>
            <w:pPr>
              <w:pStyle w:val="Compact"/>
              <w:jc w:val="left"/>
            </w:pPr>
            <w:r>
              <w:t xml:space="preserve">Applicable for holders of a Doctor of Philosophy degree</w:t>
            </w:r>
          </w:p>
        </w:tc>
      </w:tr>
      <w:tr>
        <w:tc>
          <w:tcPr/>
          <w:p>
            <w:pPr>
              <w:pStyle w:val="Compact"/>
              <w:jc w:val="left"/>
            </w:pPr>
            <w:r>
              <w:t xml:space="preserve">Research &amp; Publication Stipend</w:t>
            </w:r>
          </w:p>
        </w:tc>
        <w:tc>
          <w:tcPr/>
          <w:p>
            <w:pPr>
              <w:pStyle w:val="Compact"/>
              <w:jc w:val="left"/>
            </w:pPr>
            <w:r>
              <w:t xml:space="preserve">Semester (2 periods)</w:t>
            </w:r>
          </w:p>
        </w:tc>
        <w:tc>
          <w:tcPr/>
          <w:p>
            <w:pPr>
              <w:pStyle w:val="Compact"/>
              <w:jc w:val="left"/>
            </w:pPr>
            <w:r>
              <w:t xml:space="preserve">$1,200.00</w:t>
            </w:r>
          </w:p>
        </w:tc>
        <w:tc>
          <w:tcPr/>
          <w:p>
            <w:pPr>
              <w:pStyle w:val="Compact"/>
              <w:jc w:val="left"/>
            </w:pPr>
            <w:r>
              <w:t xml:space="preserve">Contingent on meeting publication targets</w:t>
            </w:r>
          </w:p>
        </w:tc>
      </w:tr>
      <w:tr>
        <w:tc>
          <w:tcPr/>
          <w:p>
            <w:pPr>
              <w:pStyle w:val="Compact"/>
              <w:jc w:val="left"/>
            </w:pPr>
            <w:r>
              <w:t xml:space="preserve">Relocation &amp; Resettlement Package</w:t>
            </w:r>
          </w:p>
        </w:tc>
        <w:tc>
          <w:tcPr/>
          <w:p>
            <w:pPr>
              <w:pStyle w:val="Compact"/>
              <w:jc w:val="left"/>
            </w:pPr>
            <w:r>
              <w:t xml:space="preserve">One-time</w:t>
            </w:r>
          </w:p>
        </w:tc>
        <w:tc>
          <w:tcPr/>
          <w:p>
            <w:pPr>
              <w:pStyle w:val="Compact"/>
              <w:jc w:val="left"/>
            </w:pPr>
            <w:r>
              <w:t xml:space="preserve">$5,000.00</w:t>
            </w:r>
          </w:p>
        </w:tc>
        <w:tc>
          <w:tcPr/>
          <w:p>
            <w:pPr>
              <w:pStyle w:val="Compact"/>
              <w:jc w:val="left"/>
            </w:pPr>
            <w:r>
              <w:t xml:space="preserve">Covers international airfare, visa processing, and initial housing setup in Almaty</w:t>
            </w:r>
          </w:p>
        </w:tc>
      </w:tr>
      <w:tr>
        <w:tc>
          <w:tcPr/>
          <w:p>
            <w:pPr>
              <w:pStyle w:val="Compact"/>
              <w:jc w:val="left"/>
            </w:pPr>
            <w:r>
              <w:t xml:space="preserve">Annual Housing Allowance</w:t>
            </w:r>
          </w:p>
        </w:tc>
        <w:tc>
          <w:tcPr/>
          <w:p>
            <w:pPr>
              <w:pStyle w:val="Compact"/>
              <w:jc w:val="left"/>
            </w:pPr>
            <w:r>
              <w:t xml:space="preserve">Monthly (10 months)</w:t>
            </w:r>
          </w:p>
        </w:tc>
        <w:tc>
          <w:tcPr/>
          <w:p>
            <w:pPr>
              <w:pStyle w:val="Compact"/>
              <w:jc w:val="left"/>
            </w:pPr>
            <w:r>
              <w:t xml:space="preserve">$1,800.00</w:t>
            </w:r>
          </w:p>
        </w:tc>
        <w:tc>
          <w:tcPr/>
          <w:p>
            <w:pPr>
              <w:pStyle w:val="Compact"/>
              <w:jc w:val="left"/>
            </w:pPr>
            <w:r>
              <w:t xml:space="preserve">Subsidy for private accommodation in Almaty city limits</w:t>
            </w:r>
          </w:p>
        </w:tc>
      </w:tr>
      <w:tr>
        <w:tc>
          <w:tcPr/>
          <w:p>
            <w:pPr>
              <w:pStyle w:val="Compact"/>
              <w:jc w:val="left"/>
            </w:pPr>
            <w:r>
              <w:t xml:space="preserve">Health Insurance (Comprehensive)</w:t>
            </w:r>
          </w:p>
        </w:tc>
        <w:tc>
          <w:tcPr/>
          <w:p>
            <w:pPr>
              <w:pStyle w:val="Compact"/>
              <w:jc w:val="left"/>
            </w:pPr>
            <w:r>
              <w:t xml:space="preserve">Annual</w:t>
            </w:r>
          </w:p>
        </w:tc>
        <w:tc>
          <w:tcPr/>
          <w:p>
            <w:pPr>
              <w:pStyle w:val="Compact"/>
              <w:jc w:val="left"/>
            </w:pPr>
            <w:r>
              <w:t xml:space="preserve">$2,400.00</w:t>
            </w:r>
          </w:p>
        </w:tc>
        <w:tc>
          <w:tcPr/>
          <w:p>
            <w:pPr>
              <w:pStyle w:val="Compact"/>
              <w:jc w:val="left"/>
            </w:pPr>
            <w:r>
              <w:t xml:space="preserve">Covers inpatient, outpatient, dental, and emergency evacuation</w:t>
            </w:r>
          </w:p>
        </w:tc>
      </w:tr>
      <w:tr>
        <w:tc>
          <w:tcPr/>
          <w:p>
            <w:pPr>
              <w:pStyle w:val="Compact"/>
              <w:jc w:val="left"/>
            </w:pPr>
            <w:r>
              <w:t xml:space="preserve">Professional Development &amp; Conference Budget</w:t>
            </w:r>
          </w:p>
        </w:tc>
        <w:tc>
          <w:tcPr/>
          <w:p>
            <w:pPr>
              <w:pStyle w:val="Compact"/>
              <w:jc w:val="left"/>
            </w:pPr>
            <w:r>
              <w:t xml:space="preserve">Annual</w:t>
            </w:r>
          </w:p>
        </w:tc>
        <w:tc>
          <w:tcPr/>
          <w:p>
            <w:pPr>
              <w:pStyle w:val="Compact"/>
              <w:jc w:val="left"/>
            </w:pPr>
            <w:r>
              <w:t xml:space="preserve">$1,500.00</w:t>
            </w:r>
          </w:p>
        </w:tc>
        <w:tc>
          <w:tcPr/>
          <w:p>
            <w:pPr>
              <w:pStyle w:val="Compact"/>
              <w:jc w:val="left"/>
            </w:pPr>
            <w:r>
              <w:t xml:space="preserve">Registration fees, travel, and accommodation for one international conference</w:t>
            </w:r>
          </w:p>
        </w:tc>
      </w:tr>
      <w:tr>
        <w:tc>
          <w:tcPr/>
          <w:p>
            <w:pPr>
              <w:pStyle w:val="Compact"/>
              <w:jc w:val="left"/>
            </w:pPr>
            <w:r>
              <w:t xml:space="preserve">Recruitment &amp; Placement Fee (Consultant)</w:t>
            </w:r>
          </w:p>
        </w:tc>
        <w:tc>
          <w:tcPr/>
          <w:p>
            <w:pPr>
              <w:pStyle w:val="Compact"/>
              <w:jc w:val="left"/>
            </w:pPr>
            <w:r>
              <w:t xml:space="preserve">One-time</w:t>
            </w:r>
          </w:p>
        </w:tc>
        <w:tc>
          <w:tcPr/>
          <w:p>
            <w:pPr>
              <w:pStyle w:val="Compact"/>
              <w:jc w:val="left"/>
            </w:pPr>
            <w:r>
              <w:t xml:space="preserve">$4,800.00</w:t>
            </w:r>
          </w:p>
        </w:tc>
        <w:tc>
          <w:tcPr/>
          <w:p>
            <w:pPr>
              <w:pStyle w:val="Compact"/>
              <w:jc w:val="left"/>
            </w:pPr>
            <w:r>
              <w:t xml:space="preserve">Professional sourcing, screening, and onboarding services</w:t>
            </w:r>
          </w:p>
        </w:tc>
      </w:tr>
      <w:tr>
        <w:tc>
          <w:tcPr/>
          <w:p>
            <w:pPr>
              <w:pStyle w:val="Compact"/>
              <w:jc w:val="left"/>
            </w:pPr>
            <w:r>
              <w:t xml:space="preserve">Legal &amp; Work Permit Processing</w:t>
            </w:r>
          </w:p>
        </w:tc>
        <w:tc>
          <w:tcPr/>
          <w:p>
            <w:pPr>
              <w:pStyle w:val="Compact"/>
              <w:jc w:val="left"/>
            </w:pPr>
            <w:r>
              <w:t xml:space="preserve">One-time</w:t>
            </w:r>
          </w:p>
        </w:tc>
        <w:tc>
          <w:tcPr/>
          <w:p>
            <w:pPr>
              <w:pStyle w:val="Compact"/>
              <w:jc w:val="left"/>
            </w:pPr>
            <w:r>
              <w:t xml:space="preserve">$650.00</w:t>
            </w:r>
          </w:p>
        </w:tc>
        <w:tc>
          <w:tcPr/>
          <w:p>
            <w:pPr>
              <w:pStyle w:val="Compact"/>
              <w:jc w:val="left"/>
            </w:pPr>
            <w:r>
              <w:t xml:space="preserve">Work visa, residence permit, and contract registration in Kazakhstan</w:t>
            </w:r>
          </w:p>
        </w:tc>
      </w:tr>
      <w:tr>
        <w:tc>
          <w:tcPr>
            <w:gridSpan w:val="2"/>
          </w:tcPr>
          <w:p>
            <w:pPr>
              <w:pStyle w:val="Compact"/>
              <w:jc w:val="left"/>
            </w:pPr>
            <w:r>
              <w:t xml:space="preserve">TOTAL ESTIMATED COST (Academic Year 2025–2026)</w:t>
            </w:r>
          </w:p>
        </w:tc>
        <w:tc>
          <w:tcPr/>
          <w:p>
            <w:pPr>
              <w:pStyle w:val="Compact"/>
              <w:jc w:val="left"/>
            </w:pPr>
            <w:r>
              <w:t xml:space="preserve">$52,950.00</w:t>
            </w:r>
          </w:p>
        </w:tc>
        <w:tc>
          <w:tcPr/>
          <w:p>
            <w:pPr>
              <w:pStyle w:val="Compact"/>
              <w:jc w:val="left"/>
            </w:pPr>
            <w:r>
              <w:t xml:space="preserve">Inclusive of all listed components</w:t>
            </w:r>
          </w:p>
        </w:tc>
      </w:tr>
    </w:tbl>
    <w:p>
      <w:pPr>
        <w:pStyle w:val="BodyText"/>
      </w:pPr>
      <w:r>
        <w:rPr>
          <w:bCs/>
          <w:b/>
        </w:rPr>
        <w:t xml:space="preserve">Note:</w:t>
      </w:r>
      <w:r>
        <w:t xml:space="preserve"> </w:t>
      </w:r>
      <w:r>
        <w:t xml:space="preserve">The total</w:t>
      </w:r>
      <w:r>
        <w:t xml:space="preserve"> </w:t>
      </w:r>
      <w:r>
        <w:t xml:space="preserve">Quotation Estimate</w:t>
      </w:r>
      <w:r>
        <w:t xml:space="preserve"> </w:t>
      </w:r>
      <w:r>
        <w:t xml:space="preserve">of USD 52,950.00 represents the comprehensive cost for one (1) full academic year of the</w:t>
      </w:r>
      <w:r>
        <w:t xml:space="preserve"> </w:t>
      </w:r>
      <w:r>
        <w:t xml:space="preserve">University Lecturer</w:t>
      </w:r>
      <w:r>
        <w:t xml:space="preserve"> </w:t>
      </w:r>
      <w:r>
        <w:t xml:space="preserve">engagement in</w:t>
      </w:r>
      <w:r>
        <w:t xml:space="preserve"> </w:t>
      </w:r>
      <w:r>
        <w:t xml:space="preserve">Kazakhstan Almaty</w:t>
      </w:r>
      <w:r>
        <w:t xml:space="preserve">. This figure excludes any additional costs for extended stays beyond the contract period, dependant visas, or extraordinary circumstances requiring supplementary support. All payments are subject to the prevailing tax regulations of the Republic of Kazakhstan.</w:t>
      </w:r>
    </w:p>
    <w:bookmarkEnd w:id="23"/>
    <w:bookmarkStart w:id="24" w:name="contractual-terms-and-conditions"/>
    <w:p>
      <w:pPr>
        <w:pStyle w:val="Heading2"/>
      </w:pPr>
      <w:r>
        <w:t xml:space="preserve">4. Contractual Terms and Conditions</w:t>
      </w:r>
    </w:p>
    <w:p>
      <w:pPr>
        <w:numPr>
          <w:ilvl w:val="0"/>
          <w:numId w:val="1002"/>
        </w:numPr>
        <w:pStyle w:val="Compact"/>
      </w:pPr>
      <w:r>
        <w:rPr>
          <w:bCs/>
          <w:b/>
        </w:rPr>
        <w:t xml:space="preserve">Contract Duration:</w:t>
      </w:r>
      <w:r>
        <w:t xml:space="preserve"> </w:t>
      </w:r>
      <w:r>
        <w:t xml:space="preserve">This</w:t>
      </w:r>
      <w:r>
        <w:t xml:space="preserve"> </w:t>
      </w:r>
      <w:r>
        <w:t xml:space="preserve">Quotation Estimate</w:t>
      </w:r>
      <w:r>
        <w:t xml:space="preserve"> </w:t>
      </w:r>
      <w:r>
        <w:t xml:space="preserve">and the resulting employment agreement shall be valid for one (1) academic year, commencing 1 September 2025 and concluding 30 June 2026, with an option for renewal subject to mutual written agreement no later than 30 April 2026.</w:t>
      </w:r>
    </w:p>
    <w:p>
      <w:pPr>
        <w:numPr>
          <w:ilvl w:val="0"/>
          <w:numId w:val="1002"/>
        </w:numPr>
        <w:pStyle w:val="Compact"/>
      </w:pPr>
      <w:r>
        <w:rPr>
          <w:bCs/>
          <w:b/>
        </w:rPr>
        <w:t xml:space="preserve">Probationary Period:</w:t>
      </w:r>
      <w:r>
        <w:t xml:space="preserve"> </w:t>
      </w:r>
      <w:r>
        <w:t xml:space="preserve">The first three (3) months of the engagement shall constitute a probationary period during which either party may terminate the agreement with fourteen (14) days' written notice.</w:t>
      </w:r>
    </w:p>
    <w:p>
      <w:pPr>
        <w:numPr>
          <w:ilvl w:val="0"/>
          <w:numId w:val="1002"/>
        </w:numPr>
        <w:pStyle w:val="Compact"/>
      </w:pPr>
      <w:r>
        <w:rPr>
          <w:bCs/>
          <w:b/>
        </w:rPr>
        <w:t xml:space="preserve">Payment Schedule:</w:t>
      </w:r>
      <w:r>
        <w:t xml:space="preserve"> </w:t>
      </w:r>
      <w:r>
        <w:t xml:space="preserve">Monthly salary and allowances shall be disbursed by the 5th business day of each month via bank transfer to the</w:t>
      </w:r>
      <w:r>
        <w:t xml:space="preserve"> </w:t>
      </w:r>
      <w:r>
        <w:t xml:space="preserve">University Lecturer</w:t>
      </w:r>
      <w:r>
        <w:t xml:space="preserve">'s designated account in a Kazakhstan-based financial institution. The one-time relocation and recruitment fees shall be paid within fifteen (15) business days of contract execution.</w:t>
      </w:r>
    </w:p>
    <w:p>
      <w:pPr>
        <w:numPr>
          <w:ilvl w:val="0"/>
          <w:numId w:val="1002"/>
        </w:numPr>
        <w:pStyle w:val="Compact"/>
      </w:pPr>
      <w:r>
        <w:rPr>
          <w:bCs/>
          <w:b/>
        </w:rPr>
        <w:t xml:space="preserve">Working Hours:</w:t>
      </w:r>
      <w:r>
        <w:t xml:space="preserve"> </w:t>
      </w:r>
      <w:r>
        <w:t xml:space="preserve">The standard academic workload in</w:t>
      </w:r>
      <w:r>
        <w:t xml:space="preserve"> </w:t>
      </w:r>
      <w:r>
        <w:t xml:space="preserve">Kazakhstan Almaty</w:t>
      </w:r>
      <w:r>
        <w:t xml:space="preserve"> </w:t>
      </w:r>
      <w:r>
        <w:t xml:space="preserve">is 36 hours per week, inclusive of teaching, preparation, administrative duties, and research. The academic calendar follows the standard two-semester structure with winter and summer breaks.</w:t>
      </w:r>
    </w:p>
    <w:p>
      <w:pPr>
        <w:numPr>
          <w:ilvl w:val="0"/>
          <w:numId w:val="1002"/>
        </w:numPr>
        <w:pStyle w:val="Compact"/>
      </w:pPr>
      <w:r>
        <w:rPr>
          <w:bCs/>
          <w:b/>
        </w:rPr>
        <w:t xml:space="preserve">Termination:</w:t>
      </w:r>
      <w:r>
        <w:t xml:space="preserve"> </w:t>
      </w:r>
      <w:r>
        <w:t xml:space="preserve">Either party may terminate the agreement with sixty (60) days' written notice after the probationary period. Early termination by the institution without cause shall entitle the</w:t>
      </w:r>
      <w:r>
        <w:t xml:space="preserve"> </w:t>
      </w:r>
      <w:r>
        <w:t xml:space="preserve">University Lecturer</w:t>
      </w:r>
      <w:r>
        <w:t xml:space="preserve"> </w:t>
      </w:r>
      <w:r>
        <w:t xml:space="preserve">to a severance payment equivalent to two (2) months' base salary.</w:t>
      </w:r>
    </w:p>
    <w:p>
      <w:pPr>
        <w:numPr>
          <w:ilvl w:val="0"/>
          <w:numId w:val="1002"/>
        </w:numPr>
        <w:pStyle w:val="Compact"/>
      </w:pPr>
      <w:r>
        <w:rPr>
          <w:bCs/>
          <w:b/>
        </w:rPr>
        <w:t xml:space="preserve">Confidentiality &amp; IP:</w:t>
      </w:r>
      <w:r>
        <w:t xml:space="preserve"> </w:t>
      </w:r>
      <w:r>
        <w:t xml:space="preserve">All course materials, research data, and institutional information developed during the engagement remain the property of the host university. The</w:t>
      </w:r>
      <w:r>
        <w:t xml:space="preserve"> </w:t>
      </w:r>
      <w:r>
        <w:t xml:space="preserve">University Lecturer</w:t>
      </w:r>
      <w:r>
        <w:t xml:space="preserve"> </w:t>
      </w:r>
      <w:r>
        <w:t xml:space="preserve">shall adhere to the non-disclosure provisions outlined in the master employment contract.</w:t>
      </w:r>
    </w:p>
    <w:p>
      <w:pPr>
        <w:numPr>
          <w:ilvl w:val="0"/>
          <w:numId w:val="1002"/>
        </w:numPr>
        <w:pStyle w:val="Compact"/>
      </w:pPr>
      <w:r>
        <w:rPr>
          <w:bCs/>
          <w:b/>
        </w:rPr>
        <w:t xml:space="preserve">Governing Law:</w:t>
      </w:r>
      <w:r>
        <w:t xml:space="preserve"> </w:t>
      </w:r>
      <w:r>
        <w:t xml:space="preserve">This agreement and all matters arising from this</w:t>
      </w:r>
      <w:r>
        <w:t xml:space="preserve"> </w:t>
      </w:r>
      <w:r>
        <w:t xml:space="preserve">Quotation Estimate</w:t>
      </w:r>
      <w:r>
        <w:t xml:space="preserve"> </w:t>
      </w:r>
      <w:r>
        <w:t xml:space="preserve">shall be governed by and construed in accordance with the labour and higher education legislation of the Republic of Kazakhstan. Disputes shall be resolved through the competent courts of Almaty city.</w:t>
      </w:r>
    </w:p>
    <w:bookmarkEnd w:id="24"/>
    <w:bookmarkStart w:id="25" w:name="acceptance-and-authorization"/>
    <w:p>
      <w:pPr>
        <w:pStyle w:val="Heading2"/>
      </w:pPr>
      <w:r>
        <w:t xml:space="preserve">5. Acceptance and Authorization</w:t>
      </w:r>
    </w:p>
    <w:p>
      <w:pPr>
        <w:pStyle w:val="FirstParagraph"/>
      </w:pPr>
      <w:r>
        <w:t xml:space="preserve">By signing below, the authorized representatives of both parties acknowledge and accept the terms, conditions, and financial provisions set forth in this</w:t>
      </w:r>
      <w:r>
        <w:t xml:space="preserve"> </w:t>
      </w:r>
      <w:r>
        <w:t xml:space="preserve">Quotation Estimate</w:t>
      </w:r>
      <w:r>
        <w:t xml:space="preserve"> </w:t>
      </w:r>
      <w:r>
        <w:t xml:space="preserve">for the</w:t>
      </w:r>
      <w:r>
        <w:t xml:space="preserve"> </w:t>
      </w:r>
      <w:r>
        <w:t xml:space="preserve">University Lecturer</w:t>
      </w:r>
      <w:r>
        <w:t xml:space="preserve"> </w:t>
      </w:r>
      <w:r>
        <w:t xml:space="preserve">position in</w:t>
      </w:r>
      <w:r>
        <w:t xml:space="preserve"> </w:t>
      </w:r>
      <w:r>
        <w:t xml:space="preserve">Kazakhstan Almaty</w:t>
      </w:r>
      <w:r>
        <w:t xml:space="preserve">. This document constitutes a binding financial proposal and, upon countersignature, forms the basis of the formal employment contract.</w:t>
      </w:r>
    </w:p>
    <w:p>
      <w:pPr>
        <w:pStyle w:val="BodyText"/>
      </w:pPr>
      <w:r>
        <w:rPr>
          <w:bCs/>
          <w:b/>
        </w:rPr>
        <w:t xml:space="preserve">For and on behalf of the Institution:</w:t>
      </w:r>
    </w:p>
    <w:p>
      <w:pPr>
        <w:pStyle w:val="BodyText"/>
      </w:pPr>
      <w:r>
        <w:t xml:space="preserve">Al-Farabi Kazakh National University</w:t>
      </w:r>
    </w:p>
    <w:p>
      <w:pPr>
        <w:pStyle w:val="BodyText"/>
      </w:pPr>
      <w:r>
        <w:t xml:space="preserve">Name: _________________________</w:t>
      </w:r>
      <w:r>
        <w:br/>
      </w:r>
      <w:r>
        <w:t xml:space="preserve">Title: Rector / Dean</w:t>
      </w:r>
      <w:r>
        <w:br/>
      </w:r>
      <w:r>
        <w:t xml:space="preserve">Signature &amp; Date: _______________</w:t>
      </w:r>
    </w:p>
    <w:p>
      <w:pPr>
        <w:pStyle w:val="BodyText"/>
      </w:pPr>
      <w:r>
        <w:rPr>
          <w:bCs/>
          <w:b/>
        </w:rPr>
        <w:t xml:space="preserve">For and on behalf of the Consultant:</w:t>
      </w:r>
    </w:p>
    <w:p>
      <w:pPr>
        <w:pStyle w:val="BodyText"/>
      </w:pPr>
      <w:r>
        <w:t xml:space="preserve">Eurasia Higher Education Consultants LLP</w:t>
      </w:r>
    </w:p>
    <w:p>
      <w:pPr>
        <w:pStyle w:val="BodyText"/>
      </w:pPr>
      <w:r>
        <w:t xml:space="preserve">Name: _________________________</w:t>
      </w:r>
      <w:r>
        <w:br/>
      </w:r>
      <w:r>
        <w:t xml:space="preserve">Title: Director of Academic Staffing</w:t>
      </w:r>
      <w:r>
        <w:br/>
      </w:r>
      <w:r>
        <w:t xml:space="preserve">Signature &amp; Date: _______________</w:t>
      </w:r>
    </w:p>
    <w:p>
      <w:pPr>
        <w:pStyle w:val="BodyText"/>
      </w:pPr>
      <w:r>
        <w:t xml:space="preserve">Eurasia Higher Education Consultants LLP | 45 Abai Avenue, Almaty 050040, Kazakhstan | Tel: +7 (727) 000-00-00 | Email: staffing@eurasia-hec.kz</w:t>
      </w:r>
    </w:p>
    <w:p>
      <w:pPr>
        <w:pStyle w:val="BodyText"/>
      </w:pPr>
      <w:r>
        <w:t xml:space="preserve">This Quotation Estimate is valid for 90 days from the date of issue. All figures are subject to verification against the National Bank of Kazakhstan exchange rates at the time of payment. Document Ref: QE-KZ-ALM-2025-0472.</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University Lecturer - Kazakhstan Almaty</dc:title>
  <dc:creator/>
  <dc:language>en</dc:language>
  <cp:keywords/>
  <dcterms:created xsi:type="dcterms:W3CDTF">2026-10-10T05:51:45Z</dcterms:created>
  <dcterms:modified xsi:type="dcterms:W3CDTF">2026-10-10T05:51:45Z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