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Kenya</w:t>
      </w:r>
      <w:r>
        <w:t xml:space="preserve"> </w:t>
      </w:r>
      <w:r>
        <w:t xml:space="preserve">Nairobi</w:t>
      </w:r>
    </w:p>
    <w:bookmarkStart w:id="20" w:name="quotation-estimate"/>
    <w:p>
      <w:pPr>
        <w:pStyle w:val="Heading1"/>
      </w:pPr>
      <w:r>
        <w:t xml:space="preserve">Quotation Estimate</w:t>
      </w:r>
    </w:p>
    <w:p>
      <w:pPr>
        <w:pStyle w:val="FirstParagraph"/>
      </w:pPr>
      <w:r>
        <w:t xml:space="preserve">Professional Academic Services – University Lecturer Engagement</w:t>
      </w:r>
    </w:p>
    <w:p>
      <w:pPr>
        <w:pStyle w:val="BodyText"/>
      </w:pPr>
      <w:r>
        <w:t xml:space="preserve">Kenya Nairobi | Academic Year 2025/2026</w:t>
      </w:r>
    </w:p>
    <w:bookmarkEnd w:id="20"/>
    <w:p>
      <w:pPr>
        <w:pStyle w:val="BodyText"/>
      </w:pPr>
      <w:r>
        <w:rPr>
          <w:bCs/>
          <w:b/>
        </w:rPr>
        <w:t xml:space="preserve">Quotation No.:</w:t>
      </w:r>
      <w:r>
        <w:t xml:space="preserve"> </w:t>
      </w:r>
      <w:r>
        <w:t xml:space="preserve">QTE-KEN-2025-0847</w:t>
      </w:r>
      <w:r>
        <w:br/>
      </w:r>
      <w:r>
        <w:rPr>
          <w:bCs/>
          <w:b/>
        </w:rPr>
        <w:t xml:space="preserve">Date Issued:</w:t>
      </w:r>
      <w:r>
        <w:t xml:space="preserve"> </w:t>
      </w:r>
      <w:r>
        <w:t xml:space="preserve">15th June 2025</w:t>
      </w:r>
      <w:r>
        <w:br/>
      </w:r>
      <w:r>
        <w:rPr>
          <w:bCs/>
          <w:b/>
        </w:rPr>
        <w:t xml:space="preserve">Valid Until:</w:t>
      </w:r>
      <w:r>
        <w:t xml:space="preserve"> </w:t>
      </w:r>
      <w:r>
        <w:t xml:space="preserve">15th July 2025</w:t>
      </w:r>
    </w:p>
    <w:p>
      <w:pPr>
        <w:pStyle w:val="BodyText"/>
      </w:pPr>
      <w:r>
        <w:rPr>
          <w:bCs/>
          <w:b/>
        </w:rPr>
        <w:t xml:space="preserve">Prepared By:</w:t>
      </w:r>
      <w:r>
        <w:t xml:space="preserve"> </w:t>
      </w:r>
      <w:r>
        <w:t xml:space="preserve">Dr. Amina Wanjiku Mwangi</w:t>
      </w:r>
      <w:r>
        <w:br/>
      </w:r>
      <w:r>
        <w:rPr>
          <w:bCs/>
          <w:b/>
        </w:rPr>
        <w:t xml:space="preserve">Position:</w:t>
      </w:r>
      <w:r>
        <w:t xml:space="preserve"> </w:t>
      </w:r>
      <w:r>
        <w:t xml:space="preserve">Senior University Lecturer</w:t>
      </w:r>
      <w:r>
        <w:br/>
      </w:r>
      <w:r>
        <w:rPr>
          <w:bCs/>
          <w:b/>
        </w:rPr>
        <w:t xml:space="preserve">Location:</w:t>
      </w:r>
      <w:r>
        <w:t xml:space="preserve"> </w:t>
      </w:r>
      <w:r>
        <w:t xml:space="preserve">Nairobi, Kenya</w:t>
      </w:r>
    </w:p>
    <w:p>
      <w:pPr>
        <w:pStyle w:val="BodyText"/>
      </w:pPr>
      <w:r>
        <w:rPr>
          <w:bCs/>
          <w:b/>
        </w:rPr>
        <w:t xml:space="preserve">Prepared For:</w:t>
      </w:r>
      <w:r>
        <w:t xml:space="preserve"> </w:t>
      </w:r>
      <w:r>
        <w:t xml:space="preserve">University of Nairobi</w:t>
      </w:r>
      <w:r>
        <w:br/>
      </w:r>
      <w:r>
        <w:rPr>
          <w:bCs/>
          <w:b/>
        </w:rPr>
        <w:t xml:space="preserve">Department:</w:t>
      </w:r>
      <w:r>
        <w:t xml:space="preserve"> </w:t>
      </w:r>
      <w:r>
        <w:t xml:space="preserve">Faculty of Engineering &amp; Technology</w:t>
      </w:r>
      <w:r>
        <w:br/>
      </w:r>
      <w:r>
        <w:rPr>
          <w:bCs/>
          <w:b/>
        </w:rPr>
        <w:t xml:space="preserve">Reference:</w:t>
      </w:r>
      <w:r>
        <w:t xml:space="preserve"> </w:t>
      </w:r>
      <w:r>
        <w:t xml:space="preserve">UoN/ENG/2025/0312</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document is formally submitted to the University of Nairobi, Faculty of Engineering and Technology, to outline the comprehensive financial and professional terms for the engagement of a</w:t>
      </w:r>
      <w:r>
        <w:t xml:space="preserve"> </w:t>
      </w:r>
      <w:r>
        <w:t xml:space="preserve">University Lecturer</w:t>
      </w:r>
      <w:r>
        <w:t xml:space="preserve"> </w:t>
      </w:r>
      <w:r>
        <w:t xml:space="preserve">based in</w:t>
      </w:r>
      <w:r>
        <w:t xml:space="preserve"> </w:t>
      </w:r>
      <w:r>
        <w:t xml:space="preserve">Kenya Nairobi</w:t>
      </w:r>
      <w:r>
        <w:t xml:space="preserve">. This estimate covers the full academic year 2025/2026 and encompasses all deliverables, responsibilities, and associated costs required for the successful delivery of undergraduate and postgraduate teaching programmes within the Faculty.</w:t>
      </w:r>
    </w:p>
    <w:p>
      <w:pPr>
        <w:pStyle w:val="BodyText"/>
      </w:pPr>
      <w:r>
        <w:t xml:space="preserve">The</w:t>
      </w:r>
      <w:r>
        <w:t xml:space="preserve"> </w:t>
      </w:r>
      <w:r>
        <w:t xml:space="preserve">University Lecturer</w:t>
      </w:r>
      <w:r>
        <w:t xml:space="preserve"> </w:t>
      </w:r>
      <w:r>
        <w:t xml:space="preserve">position described herein is designed to meet the specific academic needs of the institution while adhering to the regulatory standards set by the Commission for University Education (CUE) and the Kenya National Examinations Council (KNEC) guidelines applicable in</w:t>
      </w:r>
      <w:r>
        <w:t xml:space="preserve"> </w:t>
      </w:r>
      <w:r>
        <w:t xml:space="preserve">Kenya Nairobi</w:t>
      </w:r>
      <w:r>
        <w:t xml:space="preserve"> </w:t>
      </w:r>
      <w:r>
        <w:t xml:space="preserve">and the broader Kenyan higher education landscape.</w:t>
      </w:r>
    </w:p>
    <w:bookmarkEnd w:id="21"/>
    <w:bookmarkStart w:id="22" w:name="Xeb6c46b5f33ace7d4f62f5ab8b2bbcbfb01f360"/>
    <w:p>
      <w:pPr>
        <w:pStyle w:val="Heading2"/>
      </w:pPr>
      <w:r>
        <w:t xml:space="preserve">2. Scope of Services – University Lecturer Role</w:t>
      </w:r>
    </w:p>
    <w:p>
      <w:pPr>
        <w:pStyle w:val="FirstParagraph"/>
      </w:pPr>
      <w:r>
        <w:t xml:space="preserve">The</w:t>
      </w:r>
      <w:r>
        <w:t xml:space="preserve"> </w:t>
      </w:r>
      <w:r>
        <w:t xml:space="preserve">University Lecturer</w:t>
      </w:r>
      <w:r>
        <w:t xml:space="preserve"> </w:t>
      </w:r>
      <w:r>
        <w:t xml:space="preserve">engaged under this</w:t>
      </w:r>
      <w:r>
        <w:t xml:space="preserve"> </w:t>
      </w:r>
      <w:r>
        <w:t xml:space="preserve">Quotation Estimate</w:t>
      </w:r>
      <w:r>
        <w:t xml:space="preserve"> </w:t>
      </w:r>
      <w:r>
        <w:t xml:space="preserve">shall perform the following duties and responsibilities throughout the academic term in</w:t>
      </w:r>
      <w:r>
        <w:t xml:space="preserve"> </w:t>
      </w:r>
      <w:r>
        <w:t xml:space="preserve">Kenya Nairobi</w:t>
      </w:r>
      <w:r>
        <w:t xml:space="preserve">:</w:t>
      </w:r>
    </w:p>
    <w:p>
      <w:pPr>
        <w:numPr>
          <w:ilvl w:val="0"/>
          <w:numId w:val="1001"/>
        </w:numPr>
        <w:pStyle w:val="Compact"/>
      </w:pPr>
      <w:r>
        <w:t xml:space="preserve">Delivery of a minimum of 120 contact hours per semester across two semesters, covering core modules in Structural Engineering, Geotechnical Engineering, and Construction Management at both Bachelor's and Master's levels.</w:t>
      </w:r>
    </w:p>
    <w:p>
      <w:pPr>
        <w:numPr>
          <w:ilvl w:val="0"/>
          <w:numId w:val="1001"/>
        </w:numPr>
        <w:pStyle w:val="Compact"/>
      </w:pPr>
      <w:r>
        <w:t xml:space="preserve">Supervision of a maximum of eight (8) postgraduate research students, including thesis guidance, progress reviews, and final examination preparation.</w:t>
      </w:r>
    </w:p>
    <w:p>
      <w:pPr>
        <w:numPr>
          <w:ilvl w:val="0"/>
          <w:numId w:val="1001"/>
        </w:numPr>
        <w:pStyle w:val="Compact"/>
      </w:pPr>
      <w:r>
        <w:t xml:space="preserve">Development and continuous updating of course syllabi, lecture notes, laboratory manuals, and assessment instruments aligned with the Kenyan Quality Assurance Agency (KQA) standards.</w:t>
      </w:r>
    </w:p>
    <w:p>
      <w:pPr>
        <w:numPr>
          <w:ilvl w:val="0"/>
          <w:numId w:val="1001"/>
        </w:numPr>
        <w:pStyle w:val="Compact"/>
      </w:pPr>
      <w:r>
        <w:t xml:space="preserve">Participation in departmental meetings, curriculum review committees, and faculty senate sessions held at the main campus in</w:t>
      </w:r>
      <w:r>
        <w:t xml:space="preserve"> </w:t>
      </w:r>
      <w:r>
        <w:t xml:space="preserve">Kenya Nairobi</w:t>
      </w:r>
      <w:r>
        <w:t xml:space="preserve">.</w:t>
      </w:r>
    </w:p>
    <w:p>
      <w:pPr>
        <w:numPr>
          <w:ilvl w:val="0"/>
          <w:numId w:val="1001"/>
        </w:numPr>
        <w:pStyle w:val="Compact"/>
      </w:pPr>
      <w:r>
        <w:t xml:space="preserve">Mentoring of junior academic staff and teaching assistants within the Faculty of Engineering and Technology.</w:t>
      </w:r>
    </w:p>
    <w:p>
      <w:pPr>
        <w:numPr>
          <w:ilvl w:val="0"/>
          <w:numId w:val="1001"/>
        </w:numPr>
        <w:pStyle w:val="Compact"/>
      </w:pPr>
      <w:r>
        <w:t xml:space="preserve">Contribution to at least two (2) peer-reviewed research publications per academic year in internationally recognised journals.</w:t>
      </w:r>
    </w:p>
    <w:p>
      <w:pPr>
        <w:numPr>
          <w:ilvl w:val="0"/>
          <w:numId w:val="1001"/>
        </w:numPr>
        <w:pStyle w:val="Compact"/>
      </w:pPr>
      <w:r>
        <w:t xml:space="preserve">Representation of the institution at national and international academic conferences, with a minimum of one (1) presentation per year.</w:t>
      </w:r>
    </w:p>
    <w:p>
      <w:pPr>
        <w:numPr>
          <w:ilvl w:val="0"/>
          <w:numId w:val="1001"/>
        </w:numPr>
        <w:pStyle w:val="Compact"/>
      </w:pPr>
      <w:r>
        <w:t xml:space="preserve">Administration of continuous assessment, mid-semester examinations, and end-of-semester examinations in accordance with the University of Nairobi examination regulations.</w:t>
      </w:r>
    </w:p>
    <w:bookmarkEnd w:id="22"/>
    <w:bookmarkStart w:id="23" w:name="itemised-cost-breakdown"/>
    <w:p>
      <w:pPr>
        <w:pStyle w:val="Heading2"/>
      </w:pPr>
      <w:r>
        <w:t xml:space="preserve">3. Itemised Cost Breakdown</w:t>
      </w:r>
    </w:p>
    <w:p>
      <w:pPr>
        <w:pStyle w:val="FirstParagraph"/>
      </w:pPr>
      <w:r>
        <w:t xml:space="preserve">The following table presents the detailed financial breakdown for this</w:t>
      </w:r>
      <w:r>
        <w:t xml:space="preserve"> </w:t>
      </w:r>
      <w:r>
        <w:t xml:space="preserve">Quotation Estimate</w:t>
      </w:r>
      <w:r>
        <w:t xml:space="preserve"> </w:t>
      </w:r>
      <w:r>
        <w:t xml:space="preserve">relating to the</w:t>
      </w:r>
      <w:r>
        <w:t xml:space="preserve"> </w:t>
      </w:r>
      <w:r>
        <w:t xml:space="preserve">University Lecturer</w:t>
      </w:r>
      <w:r>
        <w:t xml:space="preserve"> </w:t>
      </w:r>
      <w:r>
        <w:t xml:space="preserve">engagement in</w:t>
      </w:r>
      <w:r>
        <w:t xml:space="preserve"> </w:t>
      </w:r>
      <w:r>
        <w:t xml:space="preserve">Kenya Nairobi</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Frequency</w:t>
            </w:r>
          </w:p>
        </w:tc>
        <w:tc>
          <w:tcPr/>
          <w:p>
            <w:pPr>
              <w:pStyle w:val="Compact"/>
              <w:jc w:val="left"/>
            </w:pPr>
            <w:r>
              <w:t xml:space="preserve">Unit Cost (KES)</w:t>
            </w:r>
          </w:p>
        </w:tc>
        <w:tc>
          <w:tcPr/>
          <w:p>
            <w:pPr>
              <w:pStyle w:val="Compact"/>
              <w:jc w:val="left"/>
            </w:pPr>
            <w:r>
              <w:t xml:space="preserve">Total (KES)</w:t>
            </w:r>
          </w:p>
        </w:tc>
      </w:tr>
      <w:tr>
        <w:tc>
          <w:tcPr/>
          <w:p>
            <w:pPr>
              <w:pStyle w:val="Compact"/>
              <w:jc w:val="left"/>
            </w:pPr>
            <w:r>
              <w:t xml:space="preserve">1</w:t>
            </w:r>
          </w:p>
        </w:tc>
        <w:tc>
          <w:tcPr/>
          <w:p>
            <w:pPr>
              <w:pStyle w:val="Compact"/>
              <w:jc w:val="left"/>
            </w:pPr>
            <w:r>
              <w:t xml:space="preserve">Monthly Academic Stipend – University Lecturer (Full-Time)</w:t>
            </w:r>
          </w:p>
        </w:tc>
        <w:tc>
          <w:tcPr/>
          <w:p>
            <w:pPr>
              <w:pStyle w:val="Compact"/>
              <w:jc w:val="left"/>
            </w:pPr>
            <w:r>
              <w:t xml:space="preserve">10 months</w:t>
            </w:r>
          </w:p>
        </w:tc>
        <w:tc>
          <w:tcPr/>
          <w:p>
            <w:pPr>
              <w:pStyle w:val="Compact"/>
              <w:jc w:val="left"/>
            </w:pPr>
            <w:r>
              <w:t xml:space="preserve">185,000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Research and Publication Grant (Annual)</w:t>
            </w:r>
          </w:p>
        </w:tc>
        <w:tc>
          <w:tcPr/>
          <w:p>
            <w:pPr>
              <w:pStyle w:val="Compact"/>
              <w:jc w:val="left"/>
            </w:pPr>
            <w:r>
              <w:t xml:space="preserve">1 year</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3</w:t>
            </w:r>
          </w:p>
        </w:tc>
        <w:tc>
          <w:tcPr/>
          <w:p>
            <w:pPr>
              <w:pStyle w:val="Compact"/>
              <w:jc w:val="left"/>
            </w:pPr>
            <w:r>
              <w:t xml:space="preserve">Postgraduate Supervision Allowance (8 students)</w:t>
            </w:r>
          </w:p>
        </w:tc>
        <w:tc>
          <w:tcPr/>
          <w:p>
            <w:pPr>
              <w:pStyle w:val="Compact"/>
              <w:jc w:val="left"/>
            </w:pPr>
            <w:r>
              <w:t xml:space="preserve">1 year</w:t>
            </w:r>
          </w:p>
        </w:tc>
        <w:tc>
          <w:tcPr/>
          <w:p>
            <w:pPr>
              <w:pStyle w:val="Compact"/>
              <w:jc w:val="left"/>
            </w:pPr>
            <w:r>
              <w:t xml:space="preserve">40,000</w:t>
            </w:r>
          </w:p>
        </w:tc>
        <w:tc>
          <w:tcPr/>
          <w:p>
            <w:pPr>
              <w:pStyle w:val="Compact"/>
              <w:jc w:val="left"/>
            </w:pPr>
            <w:r>
              <w:t xml:space="preserve">40,000</w:t>
            </w:r>
          </w:p>
        </w:tc>
      </w:tr>
      <w:tr>
        <w:tc>
          <w:tcPr/>
          <w:p>
            <w:pPr>
              <w:pStyle w:val="Compact"/>
              <w:jc w:val="left"/>
            </w:pPr>
            <w:r>
              <w:t xml:space="preserve">4</w:t>
            </w:r>
          </w:p>
        </w:tc>
        <w:tc>
          <w:tcPr/>
          <w:p>
            <w:pPr>
              <w:pStyle w:val="Compact"/>
              <w:jc w:val="left"/>
            </w:pPr>
            <w:r>
              <w:t xml:space="preserve">Curriculum Development and Syllabus Revision Fee</w:t>
            </w:r>
          </w:p>
        </w:tc>
        <w:tc>
          <w:tcPr/>
          <w:p>
            <w:pPr>
              <w:pStyle w:val="Compact"/>
              <w:jc w:val="left"/>
            </w:pPr>
            <w:r>
              <w:t xml:space="preserve">1 year</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5</w:t>
            </w:r>
          </w:p>
        </w:tc>
        <w:tc>
          <w:tcPr/>
          <w:p>
            <w:pPr>
              <w:pStyle w:val="Compact"/>
              <w:jc w:val="left"/>
            </w:pPr>
            <w:r>
              <w:t xml:space="preserve">Conference and Professional Development Allowance (Nairobi &amp; International)</w:t>
            </w:r>
          </w:p>
        </w:tc>
        <w:tc>
          <w:tcPr/>
          <w:p>
            <w:pPr>
              <w:pStyle w:val="Compact"/>
              <w:jc w:val="left"/>
            </w:pPr>
            <w:r>
              <w:t xml:space="preserve">1 year</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6</w:t>
            </w:r>
          </w:p>
        </w:tc>
        <w:tc>
          <w:tcPr/>
          <w:p>
            <w:pPr>
              <w:pStyle w:val="Compact"/>
              <w:jc w:val="left"/>
            </w:pPr>
            <w:r>
              <w:t xml:space="preserve">Examination and Assessment Administration Fee</w:t>
            </w:r>
          </w:p>
        </w:tc>
        <w:tc>
          <w:tcPr/>
          <w:p>
            <w:pPr>
              <w:pStyle w:val="Compact"/>
              <w:jc w:val="left"/>
            </w:pPr>
            <w:r>
              <w:t xml:space="preserve">2 semesters</w:t>
            </w:r>
          </w:p>
        </w:tc>
        <w:tc>
          <w:tcPr/>
          <w:p>
            <w:pPr>
              <w:pStyle w:val="Compact"/>
              <w:jc w:val="left"/>
            </w:pPr>
            <w:r>
              <w:t xml:space="preserve">35,000</w:t>
            </w:r>
          </w:p>
        </w:tc>
        <w:tc>
          <w:tcPr/>
          <w:p>
            <w:pPr>
              <w:pStyle w:val="Compact"/>
              <w:jc w:val="left"/>
            </w:pPr>
            <w:r>
              <w:t xml:space="preserve">70,000</w:t>
            </w:r>
          </w:p>
        </w:tc>
      </w:tr>
      <w:tr>
        <w:tc>
          <w:tcPr/>
          <w:p>
            <w:pPr>
              <w:pStyle w:val="Compact"/>
              <w:jc w:val="left"/>
            </w:pPr>
            <w:r>
              <w:t xml:space="preserve">7</w:t>
            </w:r>
          </w:p>
        </w:tc>
        <w:tc>
          <w:tcPr/>
          <w:p>
            <w:pPr>
              <w:pStyle w:val="Compact"/>
              <w:jc w:val="left"/>
            </w:pPr>
            <w:r>
              <w:t xml:space="preserve">Transport and Commuting Allowance (Nairobi Metropolitan Area)</w:t>
            </w:r>
          </w:p>
        </w:tc>
        <w:tc>
          <w:tcPr/>
          <w:p>
            <w:pPr>
              <w:pStyle w:val="Compact"/>
              <w:jc w:val="left"/>
            </w:pPr>
            <w:r>
              <w:t xml:space="preserve">10 months</w:t>
            </w:r>
          </w:p>
        </w:tc>
        <w:tc>
          <w:tcPr/>
          <w:p>
            <w:pPr>
              <w:pStyle w:val="Compact"/>
              <w:jc w:val="left"/>
            </w:pPr>
            <w:r>
              <w:t xml:space="preserve">12,000</w:t>
            </w:r>
          </w:p>
        </w:tc>
        <w:tc>
          <w:tcPr/>
          <w:p>
            <w:pPr>
              <w:pStyle w:val="Compact"/>
              <w:jc w:val="left"/>
            </w:pPr>
            <w:r>
              <w:t xml:space="preserve">120,000</w:t>
            </w:r>
          </w:p>
        </w:tc>
      </w:tr>
      <w:tr>
        <w:tc>
          <w:tcPr/>
          <w:p>
            <w:pPr>
              <w:pStyle w:val="Compact"/>
              <w:jc w:val="left"/>
            </w:pPr>
            <w:r>
              <w:t xml:space="preserve">8</w:t>
            </w:r>
          </w:p>
        </w:tc>
        <w:tc>
          <w:tcPr/>
          <w:p>
            <w:pPr>
              <w:pStyle w:val="Compact"/>
              <w:jc w:val="left"/>
            </w:pPr>
            <w:r>
              <w:t xml:space="preserve">Professional Indemnity Insurance (Academic Year)</w:t>
            </w:r>
          </w:p>
        </w:tc>
        <w:tc>
          <w:tcPr/>
          <w:p>
            <w:pPr>
              <w:pStyle w:val="Compact"/>
              <w:jc w:val="left"/>
            </w:pPr>
            <w:r>
              <w:t xml:space="preserve">1 year</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9</w:t>
            </w:r>
          </w:p>
        </w:tc>
        <w:tc>
          <w:tcPr/>
          <w:p>
            <w:pPr>
              <w:pStyle w:val="Compact"/>
              <w:jc w:val="left"/>
            </w:pPr>
            <w:r>
              <w:t xml:space="preserve">Onboarding, Orientation, and Institutional Training</w:t>
            </w:r>
          </w:p>
        </w:tc>
        <w:tc>
          <w:tcPr/>
          <w:p>
            <w:pPr>
              <w:pStyle w:val="Compact"/>
              <w:jc w:val="left"/>
            </w:pPr>
            <w:r>
              <w:t xml:space="preserve">One-time</w:t>
            </w:r>
          </w:p>
        </w:tc>
        <w:tc>
          <w:tcPr/>
          <w:p>
            <w:pPr>
              <w:pStyle w:val="Compact"/>
              <w:jc w:val="left"/>
            </w:pPr>
            <w:r>
              <w:t xml:space="preserve">30,000</w:t>
            </w:r>
          </w:p>
        </w:tc>
        <w:tc>
          <w:tcPr/>
          <w:p>
            <w:pPr>
              <w:pStyle w:val="Compact"/>
              <w:jc w:val="left"/>
            </w:pPr>
            <w:r>
              <w:t xml:space="preserve">30,000</w:t>
            </w:r>
          </w:p>
        </w:tc>
      </w:tr>
      <w:tr>
        <w:tc>
          <w:tcPr/>
          <w:p>
            <w:pPr>
              <w:pStyle w:val="Compact"/>
              <w:jc w:val="left"/>
            </w:pPr>
            <w:r>
              <w:t xml:space="preserve">10</w:t>
            </w:r>
          </w:p>
        </w:tc>
        <w:tc>
          <w:tcPr/>
          <w:p>
            <w:pPr>
              <w:pStyle w:val="Compact"/>
              <w:jc w:val="left"/>
            </w:pPr>
            <w:r>
              <w:t xml:space="preserve">Performance-Based Annual Bonus (Subject to KQA Compliance)</w:t>
            </w:r>
          </w:p>
        </w:tc>
        <w:tc>
          <w:tcPr/>
          <w:p>
            <w:pPr>
              <w:pStyle w:val="Compact"/>
              <w:jc w:val="left"/>
            </w:pPr>
            <w:r>
              <w:t xml:space="preserve">1 year</w:t>
            </w:r>
          </w:p>
        </w:tc>
        <w:tc>
          <w:tcPr/>
          <w:p>
            <w:pPr>
              <w:pStyle w:val="Compact"/>
              <w:jc w:val="left"/>
            </w:pPr>
            <w:r>
              <w:t xml:space="preserve">100,000</w:t>
            </w:r>
          </w:p>
        </w:tc>
        <w:tc>
          <w:tcPr/>
          <w:p>
            <w:pPr>
              <w:pStyle w:val="Compact"/>
              <w:jc w:val="left"/>
            </w:pPr>
            <w:r>
              <w:t xml:space="preserve">100,000</w:t>
            </w:r>
          </w:p>
        </w:tc>
      </w:tr>
      <w:tr>
        <w:tc>
          <w:tcPr>
            <w:gridSpan w:val="4"/>
          </w:tcPr>
          <w:p>
            <w:pPr>
              <w:pStyle w:val="Compact"/>
              <w:jc w:val="right"/>
            </w:pPr>
            <w:r>
              <w:t xml:space="preserve">GRAND TOTAL (KES)</w:t>
            </w:r>
          </w:p>
        </w:tc>
        <w:tc>
          <w:tcPr/>
          <w:p>
            <w:pPr>
              <w:pStyle w:val="Compact"/>
              <w:jc w:val="left"/>
            </w:pPr>
            <w:r>
              <w:t xml:space="preserve">2,700,000</w:t>
            </w:r>
          </w:p>
        </w:tc>
      </w:tr>
      <w:tr>
        <w:tc>
          <w:tcPr>
            <w:gridSpan w:val="4"/>
          </w:tcPr>
          <w:p>
            <w:pPr>
              <w:pStyle w:val="Compact"/>
              <w:jc w:val="right"/>
            </w:pPr>
            <w:r>
              <w:t xml:space="preserve">GRAND TOTAL (USD Approx.)</w:t>
            </w:r>
          </w:p>
        </w:tc>
        <w:tc>
          <w:tcPr/>
          <w:p>
            <w:pPr>
              <w:pStyle w:val="Compact"/>
              <w:jc w:val="left"/>
            </w:pPr>
            <w:r>
              <w:t xml:space="preserve">20,754.00</w:t>
            </w:r>
          </w:p>
        </w:tc>
      </w:tr>
    </w:tbl>
    <w:p>
      <w:pPr>
        <w:pStyle w:val="BodyText"/>
      </w:pPr>
      <w:r>
        <w:rPr>
          <w:bCs/>
          <w:b/>
        </w:rPr>
        <w:t xml:space="preserve">Note:</w:t>
      </w:r>
      <w:r>
        <w:t xml:space="preserve"> </w:t>
      </w:r>
      <w:r>
        <w:t xml:space="preserve">All monetary values in this</w:t>
      </w:r>
      <w:r>
        <w:t xml:space="preserve"> </w:t>
      </w:r>
      <w:r>
        <w:t xml:space="preserve">Quotation Estimate</w:t>
      </w:r>
      <w:r>
        <w:t xml:space="preserve"> </w:t>
      </w:r>
      <w:r>
        <w:t xml:space="preserve">are quoted in Kenyan Shillings (KES) at the prevailing exchange rate of 1 USD = 130 KES as of the date of issue. The</w:t>
      </w:r>
      <w:r>
        <w:t xml:space="preserve"> </w:t>
      </w:r>
      <w:r>
        <w:t xml:space="preserve">University Lecturer</w:t>
      </w:r>
      <w:r>
        <w:t xml:space="preserve"> </w:t>
      </w:r>
      <w:r>
        <w:t xml:space="preserve">engagement is subject to the tax regulations of the Kenya Revenue Authority (KRA), and all applicable Pay-As-You-Earn (PAYE) deductions, National Social Security Fund (NSSF) contributions, and Housing Rent Allowance (HRA) adjustments will be applied as per Kenyan labour law in</w:t>
      </w:r>
      <w:r>
        <w:t xml:space="preserve"> </w:t>
      </w:r>
      <w:r>
        <w:t xml:space="preserve">Kenya Nairobi</w:t>
      </w:r>
      <w:r>
        <w:t xml:space="preserve">.</w:t>
      </w:r>
    </w:p>
    <w:bookmarkEnd w:id="23"/>
    <w:bookmarkStart w:id="24"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the</w:t>
      </w:r>
      <w:r>
        <w:t xml:space="preserve"> </w:t>
      </w:r>
      <w:r>
        <w:t xml:space="preserve">University Lecturer</w:t>
      </w:r>
      <w:r>
        <w:t xml:space="preserve"> </w:t>
      </w:r>
      <w:r>
        <w:t xml:space="preserve">rates and terms may be subject to revision based on prevailing economic conditions in</w:t>
      </w:r>
      <w:r>
        <w:t xml:space="preserve"> </w:t>
      </w:r>
      <w:r>
        <w:t xml:space="preserve">Kenya Nairobi</w:t>
      </w:r>
      <w:r>
        <w:t xml:space="preserve">.</w:t>
      </w:r>
    </w:p>
    <w:p>
      <w:pPr>
        <w:numPr>
          <w:ilvl w:val="0"/>
          <w:numId w:val="1002"/>
        </w:numPr>
        <w:pStyle w:val="Compact"/>
      </w:pPr>
      <w:r>
        <w:t xml:space="preserve">Payment shall be made on a monthly basis via bank transfer to the designated account of the</w:t>
      </w:r>
      <w:r>
        <w:t xml:space="preserve"> </w:t>
      </w:r>
      <w:r>
        <w:t xml:space="preserve">University Lecturer</w:t>
      </w:r>
      <w:r>
        <w:t xml:space="preserve">, with the first payment due within fourteen (14) days of contract commencement.</w:t>
      </w:r>
    </w:p>
    <w:p>
      <w:pPr>
        <w:numPr>
          <w:ilvl w:val="0"/>
          <w:numId w:val="1002"/>
        </w:numPr>
        <w:pStyle w:val="Compact"/>
      </w:pPr>
      <w:r>
        <w:t xml:space="preserve">The</w:t>
      </w:r>
      <w:r>
        <w:t xml:space="preserve"> </w:t>
      </w:r>
      <w:r>
        <w:t xml:space="preserve">University Lecturer</w:t>
      </w:r>
      <w:r>
        <w:t xml:space="preserve"> </w:t>
      </w:r>
      <w:r>
        <w:t xml:space="preserve">shall be required to maintain a minimum attendance of 90% at all scheduled lectures, seminars, and departmental meetings at the University of Nairobi campus in</w:t>
      </w:r>
      <w:r>
        <w:t xml:space="preserve"> </w:t>
      </w:r>
      <w:r>
        <w:t xml:space="preserve">Kenya Nairobi</w:t>
      </w:r>
      <w:r>
        <w:t xml:space="preserve">.</w:t>
      </w:r>
    </w:p>
    <w:p>
      <w:pPr>
        <w:numPr>
          <w:ilvl w:val="0"/>
          <w:numId w:val="1002"/>
        </w:numPr>
        <w:pStyle w:val="Compact"/>
      </w:pPr>
      <w:r>
        <w:t xml:space="preserve">Either party may terminate this engagement with a written notice of sixty (60) days. In the event of early termination, a pro-rata adjustment to the</w:t>
      </w:r>
      <w:r>
        <w:t xml:space="preserve"> </w:t>
      </w:r>
      <w:r>
        <w:t xml:space="preserve">Quotation Estimate</w:t>
      </w:r>
      <w:r>
        <w:t xml:space="preserve"> </w:t>
      </w:r>
      <w:r>
        <w:t xml:space="preserve">totals shall be applied.</w:t>
      </w:r>
    </w:p>
    <w:p>
      <w:pPr>
        <w:numPr>
          <w:ilvl w:val="0"/>
          <w:numId w:val="1002"/>
        </w:numPr>
        <w:pStyle w:val="Compact"/>
      </w:pPr>
      <w:r>
        <w:t xml:space="preserve">All intellectual property generated by the</w:t>
      </w:r>
      <w:r>
        <w:t xml:space="preserve"> </w:t>
      </w:r>
      <w:r>
        <w:t xml:space="preserve">University Lecturer</w:t>
      </w:r>
      <w:r>
        <w:t xml:space="preserve"> </w:t>
      </w:r>
      <w:r>
        <w:t xml:space="preserve">during the course of this engagement, including research outputs and teaching materials, shall be jointly owned by the lecturer and the University of Nairobi, as per institutional policy.</w:t>
      </w:r>
    </w:p>
    <w:p>
      <w:pPr>
        <w:numPr>
          <w:ilvl w:val="0"/>
          <w:numId w:val="1002"/>
        </w:numPr>
        <w:pStyle w:val="Compact"/>
      </w:pPr>
      <w:r>
        <w:t xml:space="preserve">This engagement is governed by the laws of the Republic of Kenya, and any disputes arising shall be resolved through the institutional grievance mechanism or, failing that, through arbitration in</w:t>
      </w:r>
      <w:r>
        <w:t xml:space="preserve"> </w:t>
      </w:r>
      <w:r>
        <w:t xml:space="preserve">Kenya Nairobi</w:t>
      </w:r>
      <w:r>
        <w:t xml:space="preserve">.</w:t>
      </w:r>
    </w:p>
    <w:p>
      <w:pPr>
        <w:numPr>
          <w:ilvl w:val="0"/>
          <w:numId w:val="1002"/>
        </w:numPr>
        <w:pStyle w:val="Compact"/>
      </w:pPr>
      <w:r>
        <w:t xml:space="preserve">The</w:t>
      </w:r>
      <w:r>
        <w:t xml:space="preserve"> </w:t>
      </w:r>
      <w:r>
        <w:t xml:space="preserve">University Lecturer</w:t>
      </w:r>
      <w:r>
        <w:t xml:space="preserve"> </w:t>
      </w:r>
      <w:r>
        <w:t xml:space="preserve">shall comply with all data protection requirements under the Kenya Data Protection Act, 2019, particularly regarding student records and research data.</w:t>
      </w:r>
    </w:p>
    <w:bookmarkEnd w:id="24"/>
    <w:bookmarkStart w:id="25" w:name="acceptance-and-authorisation"/>
    <w:p>
      <w:pPr>
        <w:pStyle w:val="Heading2"/>
      </w:pPr>
      <w:r>
        <w:t xml:space="preserve">5. Acceptance and Authorisation</w:t>
      </w:r>
    </w:p>
    <w:p>
      <w:pPr>
        <w:pStyle w:val="FirstParagraph"/>
      </w:pPr>
      <w:r>
        <w:t xml:space="preserve">By signing below, the parties acknowledge and accept all terms, conditions, and financial figures outlined in this</w:t>
      </w:r>
      <w:r>
        <w:t xml:space="preserve"> </w:t>
      </w:r>
      <w:r>
        <w:t xml:space="preserve">Quotation Estimate</w:t>
      </w:r>
      <w:r>
        <w:t xml:space="preserve"> </w:t>
      </w:r>
      <w:r>
        <w:t xml:space="preserve">for the engagement of the</w:t>
      </w:r>
      <w:r>
        <w:t xml:space="preserve"> </w:t>
      </w:r>
      <w:r>
        <w:t xml:space="preserve">University Lecturer</w:t>
      </w:r>
      <w:r>
        <w:t xml:space="preserve"> </w:t>
      </w:r>
      <w:r>
        <w:t xml:space="preserve">in</w:t>
      </w:r>
      <w:r>
        <w:t xml:space="preserve"> </w:t>
      </w:r>
      <w:r>
        <w:t xml:space="preserve">Kenya Nairobi</w:t>
      </w:r>
      <w:r>
        <w:t xml:space="preserve"> </w:t>
      </w:r>
      <w:r>
        <w:t xml:space="preserve">for the academic year 2025/2026.</w:t>
      </w:r>
    </w:p>
    <w:p>
      <w:pPr>
        <w:pStyle w:val="BodyText"/>
      </w:pPr>
      <w:r>
        <w:rPr>
          <w:bCs/>
          <w:b/>
        </w:rPr>
        <w:t xml:space="preserve">For and on behalf of the University of Nairobi</w:t>
      </w:r>
      <w:r>
        <w:br/>
      </w:r>
      <w:r>
        <w:t xml:space="preserve">Name: ______________________________</w:t>
      </w:r>
      <w:r>
        <w:br/>
      </w:r>
      <w:r>
        <w:t xml:space="preserve">Title: Dean, Faculty of Engineering &amp; Technology</w:t>
      </w:r>
      <w:r>
        <w:br/>
      </w:r>
      <w:r>
        <w:t xml:space="preserve">Signature: ______________________________</w:t>
      </w:r>
      <w:r>
        <w:br/>
      </w:r>
      <w:r>
        <w:t xml:space="preserve">Date: ______________________________</w:t>
      </w:r>
    </w:p>
    <w:p>
      <w:pPr>
        <w:pStyle w:val="BodyText"/>
      </w:pPr>
      <w:r>
        <w:rPr>
          <w:bCs/>
          <w:b/>
        </w:rPr>
        <w:t xml:space="preserve">University Lecturer</w:t>
      </w:r>
      <w:r>
        <w:br/>
      </w:r>
      <w:r>
        <w:t xml:space="preserve">Name: Dr. Amina Wanjiku Mwangi</w:t>
      </w:r>
      <w:r>
        <w:br/>
      </w:r>
      <w:r>
        <w:t xml:space="preserve">Title: Senior University Lecturer</w:t>
      </w:r>
      <w:r>
        <w:br/>
      </w:r>
      <w:r>
        <w:t xml:space="preserve">Signature: ______________________________</w:t>
      </w:r>
      <w:r>
        <w:br/>
      </w:r>
      <w:r>
        <w:t xml:space="preserve">Date: ______________________________</w:t>
      </w:r>
    </w:p>
    <w:p>
      <w:pPr>
        <w:pStyle w:val="BodyText"/>
      </w:pPr>
      <w:r>
        <w:rPr>
          <w:bCs/>
          <w:b/>
        </w:rPr>
        <w:t xml:space="preserve">Quotation Estimate</w:t>
      </w:r>
      <w:r>
        <w:t xml:space="preserve"> </w:t>
      </w:r>
      <w:r>
        <w:t xml:space="preserve">| University Lecturer Engagement | Kenya Nairobi | Academic Year 2025/2026</w:t>
      </w:r>
    </w:p>
    <w:p>
      <w:pPr>
        <w:pStyle w:val="BodyText"/>
      </w:pPr>
      <w:r>
        <w:t xml:space="preserve">Document Reference: QTE-KEN-2025-0847 | Page 1 of 1</w:t>
      </w:r>
    </w:p>
    <w:p>
      <w:pPr>
        <w:pStyle w:val="BodyText"/>
      </w:pPr>
      <w:r>
        <w:t xml:space="preserve">This document is the property of the University of Nairobi and is intended solely for the use of the addressee. Unauthorised reproduction or distribution is prohibited.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University Lecturer - Kenya Nairobi</dc:title>
  <dc:creator/>
  <dc:language>en</dc:language>
  <cp:keywords/>
  <dcterms:created xsi:type="dcterms:W3CDTF">2026-10-10T01:22:45Z</dcterms:created>
  <dcterms:modified xsi:type="dcterms:W3CDTF">2026-10-10T01:22:45Z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