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Engagement of a University Lecturer — Myanmar Yangon</w:t>
      </w:r>
    </w:p>
    <w:p>
      <w:pPr>
        <w:pStyle w:val="BodyText"/>
      </w:pPr>
      <w:r>
        <w:t xml:space="preserve">Document Reference: QE-YGN-2025-0047 | Issued under the Academic Staffing Division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QE-YGN-2025-0047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Myanmar Kyat (MMK) / US Dollar (USD)</w:t>
            </w:r>
          </w:p>
        </w:tc>
      </w:tr>
      <w:tr>
        <w:tc>
          <w:tcPr/>
          <w:p>
            <w:pPr>
              <w:pStyle w:val="Compact"/>
              <w:jc w:val="left"/>
            </w:pPr>
            <w:r>
              <w:t xml:space="preserve">Prepared By</w:t>
            </w:r>
          </w:p>
        </w:tc>
        <w:tc>
          <w:tcPr/>
          <w:p>
            <w:pPr>
              <w:pStyle w:val="Compact"/>
              <w:jc w:val="left"/>
            </w:pPr>
            <w:r>
              <w:t xml:space="preserve">Academic Recruitment Office, Yangon</w:t>
            </w:r>
          </w:p>
        </w:tc>
        <w:tc>
          <w:tcPr/>
          <w:p>
            <w:pPr>
              <w:pStyle w:val="Compact"/>
              <w:jc w:val="left"/>
            </w:pPr>
            <w:r>
              <w:t xml:space="preserve">Location</w:t>
            </w:r>
          </w:p>
        </w:tc>
        <w:tc>
          <w:tcPr/>
          <w:p>
            <w:pPr>
              <w:pStyle w:val="Compact"/>
              <w:jc w:val="left"/>
            </w:pPr>
            <w:r>
              <w:t xml:space="preserve">Yangon, Myanmar</w:t>
            </w:r>
          </w:p>
        </w:tc>
      </w:tr>
      <w:tr>
        <w:tc>
          <w:tcPr/>
          <w:p>
            <w:pPr>
              <w:pStyle w:val="Compact"/>
              <w:jc w:val="left"/>
            </w:pPr>
            <w:r>
              <w:t xml:space="preserve">Client / Institution</w:t>
            </w:r>
          </w:p>
        </w:tc>
        <w:tc>
          <w:tcPr>
            <w:gridSpan w:val="3"/>
          </w:tcPr>
          <w:p>
            <w:pPr>
              <w:pStyle w:val="Compact"/>
              <w:jc w:val="left"/>
            </w:pPr>
            <w:r>
              <w:t xml:space="preserve">[Name of University or Academic Institution], Yangon, Myanmar</w:t>
            </w:r>
          </w:p>
        </w:tc>
      </w:tr>
      <w:tr>
        <w:tc>
          <w:tcPr/>
          <w:p>
            <w:pPr>
              <w:pStyle w:val="Compact"/>
              <w:jc w:val="left"/>
            </w:pPr>
            <w:r>
              <w:t xml:space="preserve">Position</w:t>
            </w:r>
          </w:p>
        </w:tc>
        <w:tc>
          <w:tcPr>
            <w:gridSpan w:val="3"/>
          </w:tcPr>
          <w:p>
            <w:pPr>
              <w:pStyle w:val="Compact"/>
              <w:jc w:val="left"/>
            </w:pPr>
            <w:r>
              <w:t xml:space="preserve">University Lecturer (Full-Time / Part-Time Academic Appointment)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prepared to outline the comprehensive financial and professional terms for the engagement of a</w:t>
      </w:r>
      <w:r>
        <w:t xml:space="preserve"> </w:t>
      </w:r>
      <w:r>
        <w:t xml:space="preserve">University Lecturer</w:t>
      </w:r>
      <w:r>
        <w:t xml:space="preserve"> </w:t>
      </w:r>
      <w:r>
        <w:t xml:space="preserve">within the academic framework of a higher education institution located in</w:t>
      </w:r>
      <w:r>
        <w:t xml:space="preserve"> </w:t>
      </w:r>
      <w:r>
        <w:t xml:space="preserve">Myanmar Yangon</w:t>
      </w:r>
      <w:r>
        <w:t xml:space="preserve">. The document serves as a binding financial proposal that details all compensation, benefits, allowances, and associated costs for the academic appointment. It is intended to provide the hiring institution with a transparent, itemised breakdown of expenses so that an informed decision may be made regarding the recruitment and onboarding of the</w:t>
      </w:r>
      <w:r>
        <w:t xml:space="preserve"> </w:t>
      </w:r>
      <w:r>
        <w:t xml:space="preserve">University Lecturer</w:t>
      </w:r>
      <w:r>
        <w:t xml:space="preserve"> </w:t>
      </w:r>
      <w:r>
        <w:t xml:space="preserve">candidate.</w:t>
      </w:r>
    </w:p>
    <w:p>
      <w:pPr>
        <w:pStyle w:val="BodyText"/>
      </w:pPr>
      <w:r>
        <w:t xml:space="preserve">The scope of this</w:t>
      </w:r>
      <w:r>
        <w:t xml:space="preserve"> </w:t>
      </w:r>
      <w:r>
        <w:t xml:space="preserve">Quotation Estimate</w:t>
      </w:r>
      <w:r>
        <w:t xml:space="preserve"> </w:t>
      </w:r>
      <w:r>
        <w:t xml:space="preserve">covers a one (1) academic year engagement, commencing from the start of the next semester in</w:t>
      </w:r>
      <w:r>
        <w:t xml:space="preserve"> </w:t>
      </w:r>
      <w:r>
        <w:t xml:space="preserve">Myanmar Yangon</w:t>
      </w:r>
      <w:r>
        <w:t xml:space="preserve">, with the option for renewal subject to mutual agreement. The</w:t>
      </w:r>
      <w:r>
        <w:t xml:space="preserve"> </w:t>
      </w:r>
      <w:r>
        <w:t xml:space="preserve">University Lecturer</w:t>
      </w:r>
      <w:r>
        <w:t xml:space="preserve"> </w:t>
      </w:r>
      <w:r>
        <w:t xml:space="preserve">will be responsible for delivering undergraduate and/or postgraduate courses, supervising student research, contributing to departmental curriculum development, and participating in academic governance activities as prescribed by the institution's faculty regulations.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Item / Description</w:t>
            </w:r>
          </w:p>
        </w:tc>
        <w:tc>
          <w:tcPr/>
          <w:p>
            <w:pPr>
              <w:pStyle w:val="Compact"/>
              <w:jc w:val="left"/>
            </w:pPr>
            <w:r>
              <w:t xml:space="preserve">Frequency</w:t>
            </w:r>
          </w:p>
        </w:tc>
        <w:tc>
          <w:tcPr/>
          <w:p>
            <w:pPr>
              <w:pStyle w:val="Compact"/>
              <w:jc w:val="left"/>
            </w:pPr>
            <w:r>
              <w:t xml:space="preserve">Amount (MMK)</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Base Monthly Salary — University Lecturer</w:t>
            </w:r>
          </w:p>
        </w:tc>
        <w:tc>
          <w:tcPr/>
          <w:p>
            <w:pPr>
              <w:pStyle w:val="Compact"/>
              <w:jc w:val="left"/>
            </w:pPr>
            <w:r>
              <w:t xml:space="preserve">Monthly (12 months)</w:t>
            </w:r>
          </w:p>
        </w:tc>
        <w:tc>
          <w:tcPr/>
          <w:p>
            <w:pPr>
              <w:pStyle w:val="Compact"/>
              <w:jc w:val="left"/>
            </w:pPr>
            <w:r>
              <w:t xml:space="preserve">3,500,000</w:t>
            </w:r>
          </w:p>
        </w:tc>
        <w:tc>
          <w:tcPr/>
          <w:p>
            <w:pPr>
              <w:pStyle w:val="Compact"/>
              <w:jc w:val="left"/>
            </w:pPr>
            <w:r>
              <w:t xml:space="preserve">1,166.67</w:t>
            </w:r>
          </w:p>
        </w:tc>
      </w:tr>
      <w:tr>
        <w:tc>
          <w:tcPr/>
          <w:p>
            <w:pPr>
              <w:pStyle w:val="Compact"/>
              <w:jc w:val="left"/>
            </w:pPr>
            <w:r>
              <w:t xml:space="preserve">2</w:t>
            </w:r>
          </w:p>
        </w:tc>
        <w:tc>
          <w:tcPr/>
          <w:p>
            <w:pPr>
              <w:pStyle w:val="Compact"/>
              <w:jc w:val="left"/>
            </w:pPr>
            <w:r>
              <w:t xml:space="preserve">Academic Qualification Allowance (PhD / Master's)</w:t>
            </w:r>
          </w:p>
        </w:tc>
        <w:tc>
          <w:tcPr/>
          <w:p>
            <w:pPr>
              <w:pStyle w:val="Compact"/>
              <w:jc w:val="left"/>
            </w:pPr>
            <w:r>
              <w:t xml:space="preserve">Monthly (12 months)</w:t>
            </w:r>
          </w:p>
        </w:tc>
        <w:tc>
          <w:tcPr/>
          <w:p>
            <w:pPr>
              <w:pStyle w:val="Compact"/>
              <w:jc w:val="left"/>
            </w:pPr>
            <w:r>
              <w:t xml:space="preserve">750,000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Research &amp; Publication Grant (Annual)</w:t>
            </w:r>
          </w:p>
        </w:tc>
        <w:tc>
          <w:tcPr/>
          <w:p>
            <w:pPr>
              <w:pStyle w:val="Compact"/>
              <w:jc w:val="left"/>
            </w:pPr>
            <w:r>
              <w:t xml:space="preserve">Annual</w:t>
            </w:r>
          </w:p>
        </w:tc>
        <w:tc>
          <w:tcPr/>
          <w:p>
            <w:pPr>
              <w:pStyle w:val="Compact"/>
              <w:jc w:val="left"/>
            </w:pPr>
            <w:r>
              <w:t xml:space="preserve">5,000,000</w:t>
            </w:r>
          </w:p>
        </w:tc>
        <w:tc>
          <w:tcPr/>
          <w:p>
            <w:pPr>
              <w:pStyle w:val="Compact"/>
              <w:jc w:val="left"/>
            </w:pPr>
            <w:r>
              <w:t xml:space="preserve">1,666.67</w:t>
            </w:r>
          </w:p>
        </w:tc>
      </w:tr>
      <w:tr>
        <w:tc>
          <w:tcPr/>
          <w:p>
            <w:pPr>
              <w:pStyle w:val="Compact"/>
              <w:jc w:val="left"/>
            </w:pPr>
            <w:r>
              <w:t xml:space="preserve">4</w:t>
            </w:r>
          </w:p>
        </w:tc>
        <w:tc>
          <w:tcPr/>
          <w:p>
            <w:pPr>
              <w:pStyle w:val="Compact"/>
              <w:jc w:val="left"/>
            </w:pPr>
            <w:r>
              <w:t xml:space="preserve">Housing Allowance — Yangon, Myanmar</w:t>
            </w:r>
          </w:p>
        </w:tc>
        <w:tc>
          <w:tcPr/>
          <w:p>
            <w:pPr>
              <w:pStyle w:val="Compact"/>
              <w:jc w:val="left"/>
            </w:pPr>
            <w:r>
              <w:t xml:space="preserve">Monthly (12 months)</w:t>
            </w:r>
          </w:p>
        </w:tc>
        <w:tc>
          <w:tcPr/>
          <w:p>
            <w:pPr>
              <w:pStyle w:val="Compact"/>
              <w:jc w:val="left"/>
            </w:pPr>
            <w:r>
              <w:t xml:space="preserve">1,200,000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Transportation &amp; Local Commute Allowance</w:t>
            </w:r>
          </w:p>
        </w:tc>
        <w:tc>
          <w:tcPr/>
          <w:p>
            <w:pPr>
              <w:pStyle w:val="Compact"/>
              <w:jc w:val="left"/>
            </w:pPr>
            <w:r>
              <w:t xml:space="preserve">Monthly (12 months)</w:t>
            </w:r>
          </w:p>
        </w:tc>
        <w:tc>
          <w:tcPr/>
          <w:p>
            <w:pPr>
              <w:pStyle w:val="Compact"/>
              <w:jc w:val="left"/>
            </w:pPr>
            <w:r>
              <w:t xml:space="preserve">400,000</w:t>
            </w:r>
          </w:p>
        </w:tc>
        <w:tc>
          <w:tcPr/>
          <w:p>
            <w:pPr>
              <w:pStyle w:val="Compact"/>
              <w:jc w:val="left"/>
            </w:pPr>
            <w:r>
              <w:t xml:space="preserve">133.33</w:t>
            </w:r>
          </w:p>
        </w:tc>
      </w:tr>
      <w:tr>
        <w:tc>
          <w:tcPr/>
          <w:p>
            <w:pPr>
              <w:pStyle w:val="Compact"/>
              <w:jc w:val="left"/>
            </w:pPr>
            <w:r>
              <w:t xml:space="preserve">6</w:t>
            </w:r>
          </w:p>
        </w:tc>
        <w:tc>
          <w:tcPr/>
          <w:p>
            <w:pPr>
              <w:pStyle w:val="Compact"/>
              <w:jc w:val="left"/>
            </w:pPr>
            <w:r>
              <w:t xml:space="preserve">Health Insurance (Comprehensive, Myanmar Coverage)</w:t>
            </w:r>
          </w:p>
        </w:tc>
        <w:tc>
          <w:tcPr/>
          <w:p>
            <w:pPr>
              <w:pStyle w:val="Compact"/>
              <w:jc w:val="left"/>
            </w:pPr>
            <w:r>
              <w:t xml:space="preserve">Annual</w:t>
            </w:r>
          </w:p>
        </w:tc>
        <w:tc>
          <w:tcPr/>
          <w:p>
            <w:pPr>
              <w:pStyle w:val="Compact"/>
              <w:jc w:val="left"/>
            </w:pPr>
            <w:r>
              <w:t xml:space="preserve">3,600,000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Relocation &amp; Onboarding Package (One-Time)</w:t>
            </w:r>
          </w:p>
        </w:tc>
        <w:tc>
          <w:tcPr/>
          <w:p>
            <w:pPr>
              <w:pStyle w:val="Compact"/>
              <w:jc w:val="left"/>
            </w:pPr>
            <w:r>
              <w:t xml:space="preserve">One-Time</w:t>
            </w:r>
          </w:p>
        </w:tc>
        <w:tc>
          <w:tcPr/>
          <w:p>
            <w:pPr>
              <w:pStyle w:val="Compact"/>
              <w:jc w:val="left"/>
            </w:pPr>
            <w:r>
              <w:t xml:space="preserve">8,000,000</w:t>
            </w:r>
          </w:p>
        </w:tc>
        <w:tc>
          <w:tcPr/>
          <w:p>
            <w:pPr>
              <w:pStyle w:val="Compact"/>
              <w:jc w:val="left"/>
            </w:pPr>
            <w:r>
              <w:t xml:space="preserve">2,666.67</w:t>
            </w:r>
          </w:p>
        </w:tc>
      </w:tr>
      <w:tr>
        <w:tc>
          <w:tcPr/>
          <w:p>
            <w:pPr>
              <w:pStyle w:val="Compact"/>
              <w:jc w:val="left"/>
            </w:pPr>
            <w:r>
              <w:t xml:space="preserve">8</w:t>
            </w:r>
          </w:p>
        </w:tc>
        <w:tc>
          <w:tcPr/>
          <w:p>
            <w:pPr>
              <w:pStyle w:val="Compact"/>
              <w:jc w:val="left"/>
            </w:pPr>
            <w:r>
              <w:t xml:space="preserve">Annual Performance Bonus (Subject to Evaluation)</w:t>
            </w:r>
          </w:p>
        </w:tc>
        <w:tc>
          <w:tcPr/>
          <w:p>
            <w:pPr>
              <w:pStyle w:val="Compact"/>
              <w:jc w:val="left"/>
            </w:pPr>
            <w:r>
              <w:t xml:space="preserve">Annual</w:t>
            </w:r>
          </w:p>
        </w:tc>
        <w:tc>
          <w:tcPr/>
          <w:p>
            <w:pPr>
              <w:pStyle w:val="Compact"/>
              <w:jc w:val="left"/>
            </w:pPr>
            <w:r>
              <w:t xml:space="preserve">4,000,000</w:t>
            </w:r>
          </w:p>
        </w:tc>
        <w:tc>
          <w:tcPr/>
          <w:p>
            <w:pPr>
              <w:pStyle w:val="Compact"/>
              <w:jc w:val="left"/>
            </w:pPr>
            <w:r>
              <w:t xml:space="preserve">1,333.33</w:t>
            </w:r>
          </w:p>
        </w:tc>
      </w:tr>
      <w:tr>
        <w:tc>
          <w:tcPr/>
          <w:p>
            <w:pPr>
              <w:pStyle w:val="Compact"/>
              <w:jc w:val="left"/>
            </w:pPr>
            <w:r>
              <w:t xml:space="preserve">9</w:t>
            </w:r>
          </w:p>
        </w:tc>
        <w:tc>
          <w:tcPr/>
          <w:p>
            <w:pPr>
              <w:pStyle w:val="Compact"/>
              <w:jc w:val="left"/>
            </w:pPr>
            <w:r>
              <w:t xml:space="preserve">Professional Development &amp; Conference Travel</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833.33</w:t>
            </w:r>
          </w:p>
        </w:tc>
      </w:tr>
      <w:tr>
        <w:tc>
          <w:tcPr/>
          <w:p>
            <w:pPr>
              <w:pStyle w:val="Compact"/>
              <w:jc w:val="left"/>
            </w:pPr>
            <w:r>
              <w:t xml:space="preserve">10</w:t>
            </w:r>
          </w:p>
        </w:tc>
        <w:tc>
          <w:tcPr/>
          <w:p>
            <w:pPr>
              <w:pStyle w:val="Compact"/>
              <w:jc w:val="left"/>
            </w:pPr>
            <w:r>
              <w:t xml:space="preserve">Administrative &amp; Processing Fees (Visa, Work Permit)</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500.00</w:t>
            </w:r>
          </w:p>
        </w:tc>
      </w:tr>
      <w:tr>
        <w:tc>
          <w:tcPr>
            <w:gridSpan w:val="3"/>
          </w:tcPr>
          <w:p>
            <w:pPr>
              <w:pStyle w:val="Compact"/>
              <w:jc w:val="left"/>
            </w:pPr>
            <w:r>
              <w:t xml:space="preserve">TOTAL ESTIMATED ANNUAL COST</w:t>
            </w:r>
          </w:p>
        </w:tc>
        <w:tc>
          <w:tcPr/>
          <w:p>
            <w:pPr>
              <w:pStyle w:val="Compact"/>
              <w:jc w:val="left"/>
            </w:pPr>
            <w:r>
              <w:t xml:space="preserve">62,400,000</w:t>
            </w:r>
          </w:p>
        </w:tc>
        <w:tc>
          <w:tcPr/>
          <w:p>
            <w:pPr>
              <w:pStyle w:val="Compact"/>
              <w:jc w:val="left"/>
            </w:pPr>
            <w:r>
              <w:t xml:space="preserve">20,800.00</w:t>
            </w:r>
          </w:p>
        </w:tc>
      </w:tr>
    </w:tbl>
    <w:p>
      <w:pPr>
        <w:pStyle w:val="BodyText"/>
      </w:pPr>
      <w:r>
        <w:rPr>
          <w:bCs/>
          <w:b/>
        </w:rPr>
        <w:t xml:space="preserve">Note:</w:t>
      </w:r>
      <w:r>
        <w:t xml:space="preserve"> </w:t>
      </w:r>
      <w:r>
        <w:t xml:space="preserve">All amounts in Myanmar Kyat (MMK) are subject to the prevailing exchange rate at the time of payment. The USD equivalents are provided for reference only. This</w:t>
      </w:r>
      <w:r>
        <w:t xml:space="preserve"> </w:t>
      </w:r>
      <w:r>
        <w:t xml:space="preserve">Quotation Estimate</w:t>
      </w:r>
      <w:r>
        <w:t xml:space="preserve"> </w:t>
      </w:r>
      <w:r>
        <w:t xml:space="preserve">does not include any applicable withholding tax as mandated by the Myanmar Revenue Department. The institution is responsible for statutory employer contributions under Myanmar labour and social security regulations.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figures are subject to revision based on market conditions in</w:t>
      </w:r>
      <w:r>
        <w:t xml:space="preserve"> </w:t>
      </w:r>
      <w:r>
        <w:t xml:space="preserve">Myanmar Yangon</w:t>
      </w:r>
      <w:r>
        <w:t xml:space="preserve">.</w:t>
      </w:r>
    </w:p>
    <w:p>
      <w:pPr>
        <w:numPr>
          <w:ilvl w:val="0"/>
          <w:numId w:val="1001"/>
        </w:numPr>
        <w:pStyle w:val="Compact"/>
      </w:pPr>
      <w:r>
        <w:t xml:space="preserve">The engagement of the</w:t>
      </w:r>
      <w:r>
        <w:t xml:space="preserve"> </w:t>
      </w:r>
      <w:r>
        <w:t xml:space="preserve">University Lecturer</w:t>
      </w:r>
      <w:r>
        <w:t xml:space="preserve"> </w:t>
      </w:r>
      <w:r>
        <w:t xml:space="preserve">is contingent upon successful completion of background verification, academic credential authentication, and the issuance of a valid work permit by the relevant Myanmar government authorities.</w:t>
      </w:r>
    </w:p>
    <w:p>
      <w:pPr>
        <w:numPr>
          <w:ilvl w:val="0"/>
          <w:numId w:val="1001"/>
        </w:numPr>
        <w:pStyle w:val="Compact"/>
      </w:pPr>
      <w:r>
        <w:t xml:space="preserve">Payment shall be processed on a monthly basis via bank transfer to the</w:t>
      </w:r>
      <w:r>
        <w:t xml:space="preserve"> </w:t>
      </w:r>
      <w:r>
        <w:t xml:space="preserve">University Lecturer</w:t>
      </w:r>
      <w:r>
        <w:t xml:space="preserve">'s designated account within a Myanmar-licensed financial institution, no later than the fifth (5th) business day of each month.</w:t>
      </w:r>
    </w:p>
    <w:p>
      <w:pPr>
        <w:numPr>
          <w:ilvl w:val="0"/>
          <w:numId w:val="1001"/>
        </w:numPr>
        <w:pStyle w:val="Compact"/>
      </w:pPr>
      <w:r>
        <w:t xml:space="preserve">The one-time relocation and onboarding package shall be disbursed in two instalments: fifty percent (50%) upon arrival in</w:t>
      </w:r>
      <w:r>
        <w:t xml:space="preserve"> </w:t>
      </w:r>
      <w:r>
        <w:t xml:space="preserve">Myanmar Yangon</w:t>
      </w:r>
      <w:r>
        <w:t xml:space="preserve"> </w:t>
      </w:r>
      <w:r>
        <w:t xml:space="preserve">and the remaining fifty percent (50%) upon completion of the first month of service.</w:t>
      </w:r>
    </w:p>
    <w:p>
      <w:pPr>
        <w:numPr>
          <w:ilvl w:val="0"/>
          <w:numId w:val="1001"/>
        </w:numPr>
        <w:pStyle w:val="Compact"/>
      </w:pPr>
      <w:r>
        <w:t xml:space="preserve">Either party may terminate the engagement with a written notice of sixty (60) days. In the event of early termination by the institution without cause, a pro-rata portion of the annual bonus and remaining allowances shall be paid to the</w:t>
      </w:r>
      <w:r>
        <w:t xml:space="preserve"> </w:t>
      </w:r>
      <w:r>
        <w:t xml:space="preserve">University Lecturer</w:t>
      </w:r>
      <w:r>
        <w:t xml:space="preserve">.</w:t>
      </w:r>
    </w:p>
    <w:p>
      <w:pPr>
        <w:numPr>
          <w:ilvl w:val="0"/>
          <w:numId w:val="1001"/>
        </w:numPr>
        <w:pStyle w:val="Compact"/>
      </w:pPr>
      <w:r>
        <w:t xml:space="preserve">All intellectual property, research outputs, and course materials developed during the tenure of the</w:t>
      </w:r>
      <w:r>
        <w:t xml:space="preserve"> </w:t>
      </w:r>
      <w:r>
        <w:t xml:space="preserve">University Lecturer</w:t>
      </w:r>
      <w:r>
        <w:t xml:space="preserve"> </w:t>
      </w:r>
      <w:r>
        <w:t xml:space="preserve">shall be governed by the institution's intellectual property policy as applicable in</w:t>
      </w:r>
      <w:r>
        <w:t xml:space="preserve"> </w:t>
      </w:r>
      <w:r>
        <w:t xml:space="preserve">Myanmar Yangon</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formal employment contract. A separate, detailed employment agreement shall be executed upon acceptance of this estimate and successful completion of all pre-employment requirements.</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engagement shall be resolved through amicable negotiation, failing which they shall be referred to the competent labour courts in Yangon, Myanmar, in accordance with the Myanmar Labour Law No. 6/2011.</w:t>
      </w:r>
    </w:p>
    <w:bookmarkEnd w:id="23"/>
    <w:bookmarkStart w:id="24" w:name="acceptance-and-authorisation"/>
    <w:p>
      <w:pPr>
        <w:pStyle w:val="Heading2"/>
      </w:pPr>
      <w:r>
        <w:t xml:space="preserve">4. Acceptance and Authorisation</w:t>
      </w:r>
    </w:p>
    <w:p>
      <w:pPr>
        <w:pStyle w:val="FirstParagraph"/>
      </w:pPr>
      <w:r>
        <w:t xml:space="preserve">By signing below, the undersigned parties acknowledge and accept the terms, conditions, and financial figures set forth in this</w:t>
      </w:r>
      <w:r>
        <w:t xml:space="preserve"> </w:t>
      </w:r>
      <w:r>
        <w:t xml:space="preserve">Quotation Estimate</w:t>
      </w:r>
      <w:r>
        <w:t xml:space="preserve"> </w:t>
      </w:r>
      <w:r>
        <w:t xml:space="preserve">for the engagement of the</w:t>
      </w:r>
      <w:r>
        <w:t xml:space="preserve"> </w:t>
      </w:r>
      <w:r>
        <w:t xml:space="preserve">University Lecturer</w:t>
      </w:r>
      <w:r>
        <w:t xml:space="preserve"> </w:t>
      </w:r>
      <w:r>
        <w:t xml:space="preserve">in</w:t>
      </w:r>
      <w:r>
        <w:t xml:space="preserve"> </w:t>
      </w:r>
      <w:r>
        <w:t xml:space="preserve">Myanmar Yangon</w:t>
      </w:r>
      <w:r>
        <w:t xml:space="preserve">. This acceptance shall serve as the basis for the preparation of the formal employment contract.</w:t>
      </w:r>
    </w:p>
    <w:p>
      <w:pPr>
        <w:pStyle w:val="BodyText"/>
      </w:pPr>
      <w:r>
        <w:rPr>
          <w:bCs/>
          <w:b/>
        </w:rPr>
        <w:t xml:space="preserve">For the Institution (Client)</w:t>
      </w:r>
      <w:r>
        <w:br/>
      </w: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the University Lecturer (Candidate)</w:t>
      </w:r>
      <w:r>
        <w:br/>
      </w:r>
      <w:r>
        <w:t xml:space="preserve">Name: ______________________________</w:t>
      </w:r>
      <w:r>
        <w:br/>
      </w:r>
      <w:r>
        <w:t xml:space="preserve">Title: ______________________________</w:t>
      </w:r>
      <w:r>
        <w:br/>
      </w:r>
      <w:r>
        <w:t xml:space="preserve">Signature &amp; Date: ______________________________</w:t>
      </w:r>
    </w:p>
    <w:p>
      <w:pPr>
        <w:pStyle w:val="BodyText"/>
      </w:pPr>
      <w:r>
        <w:t xml:space="preserve">This Quotation Estimate document QE-YGN-2025-0047 was prepared by the Academic Recruitment Office for use in Myanmar Yangon.</w:t>
      </w:r>
      <w:r>
        <w:t xml:space="preserve"> </w:t>
      </w:r>
      <w:r>
        <w:t xml:space="preserve">© 2025 [Institution Name]. All rights reserved. For official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Myanmar Yangon</dc:title>
  <dc:creator/>
  <dc:language>en</dc:language>
  <cp:keywords/>
  <dcterms:created xsi:type="dcterms:W3CDTF">2026-10-10T04:06:06Z</dcterms:created>
  <dcterms:modified xsi:type="dcterms:W3CDTF">2026-10-10T04:06:06Z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