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Academic Staffing &amp; Recruitment Services</w:t>
      </w:r>
    </w:p>
    <w:p>
      <w:pPr>
        <w:pStyle w:val="BodyText"/>
      </w:pPr>
      <w:r>
        <w:t xml:space="preserve">Academic Talent Solutions B.V. • Keizersgracht 245, 1016 CW Amsterdam, Netherlands</w:t>
      </w:r>
      <w:r>
        <w:br/>
      </w:r>
      <w:r>
        <w:t xml:space="preserve">KVK: 87654321 • BTW: NL861234567B01 • Tel: +31 20 555 0142 • Email: quotations@academictalent.nl</w:t>
      </w:r>
    </w:p>
    <w:bookmarkEnd w:id="20"/>
    <w:p>
      <w:pPr>
        <w:pStyle w:val="BodyText"/>
      </w:pPr>
      <w:r>
        <w:t xml:space="preserve">Quotation Estimate No.:</w:t>
      </w:r>
    </w:p>
    <w:p>
      <w:pPr>
        <w:pStyle w:val="BodyText"/>
      </w:pPr>
      <w:r>
        <w:t xml:space="preserve">QTE-2025-AMST-0472</w:t>
      </w:r>
    </w:p>
    <w:p>
      <w:pPr>
        <w:pStyle w:val="BodyText"/>
      </w:pPr>
      <w:r>
        <w:t xml:space="preserve">Date of Issue:</w:t>
      </w:r>
    </w:p>
    <w:p>
      <w:pPr>
        <w:pStyle w:val="BodyText"/>
      </w:pPr>
      <w:r>
        <w:t xml:space="preserve">14 June 2025</w:t>
      </w:r>
    </w:p>
    <w:p>
      <w:pPr>
        <w:pStyle w:val="BodyText"/>
      </w:pPr>
      <w:r>
        <w:t xml:space="preserve">Valid Until:</w:t>
      </w:r>
    </w:p>
    <w:p>
      <w:pPr>
        <w:pStyle w:val="BodyText"/>
      </w:pPr>
      <w:r>
        <w:t xml:space="preserve">14 September 2025</w:t>
      </w:r>
    </w:p>
    <w:p>
      <w:pPr>
        <w:pStyle w:val="BodyText"/>
      </w:pPr>
      <w:r>
        <w:t xml:space="preserve">Prepared For:</w:t>
      </w:r>
    </w:p>
    <w:p>
      <w:pPr>
        <w:pStyle w:val="BodyText"/>
      </w:pPr>
      <w:r>
        <w:t xml:space="preserve">Faculty of Social Sciences</w:t>
      </w:r>
    </w:p>
    <w:p>
      <w:pPr>
        <w:pStyle w:val="BodyText"/>
      </w:pPr>
      <w:r>
        <w:t xml:space="preserve">University of Amsterdam (UvA)</w:t>
      </w:r>
    </w:p>
    <w:p>
      <w:pPr>
        <w:pStyle w:val="BodyText"/>
      </w:pPr>
      <w:r>
        <w:t xml:space="preserve">Plantage Muidergracht 12</w:t>
      </w:r>
    </w:p>
    <w:p>
      <w:pPr>
        <w:pStyle w:val="BodyText"/>
      </w:pPr>
      <w:r>
        <w:t xml:space="preserve">1018 TV Amsterdam, Netherlands</w:t>
      </w:r>
    </w:p>
    <w:p>
      <w:pPr>
        <w:pStyle w:val="BodyText"/>
      </w:pPr>
      <w:r>
        <w:t xml:space="preserve">Contact Person:</w:t>
      </w:r>
    </w:p>
    <w:p>
      <w:pPr>
        <w:pStyle w:val="BodyText"/>
      </w:pPr>
      <w:r>
        <w:t xml:space="preserve">Prof. Dr. M. van der Berg, Dean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Academic Talent Solutions B.V. in response to the formal request for proposal submitted by the University of Amsterdam regarding the recruitment, onboarding, and first-year engagement of a</w:t>
      </w:r>
      <w:r>
        <w:t xml:space="preserve"> </w:t>
      </w:r>
      <w:r>
        <w:t xml:space="preserve">University Lecturer</w:t>
      </w:r>
      <w:r>
        <w:t xml:space="preserve"> </w:t>
      </w:r>
      <w:r>
        <w:t xml:space="preserve">in the Department of International Relations and European Studies. This document provides a comprehensive, itemized financial projection for all services rendered in connection with the placement of a qualified</w:t>
      </w:r>
      <w:r>
        <w:t xml:space="preserve"> </w:t>
      </w:r>
      <w:r>
        <w:t xml:space="preserve">University Lecturer</w:t>
      </w:r>
      <w:r>
        <w:t xml:space="preserve"> </w:t>
      </w:r>
      <w:r>
        <w:t xml:space="preserve">within the academic framework of the</w:t>
      </w:r>
      <w:r>
        <w:t xml:space="preserve"> </w:t>
      </w:r>
      <w:r>
        <w:t xml:space="preserve">Netherlands Amsterdam</w:t>
      </w:r>
      <w:r>
        <w:t xml:space="preserve"> </w:t>
      </w:r>
      <w:r>
        <w:t xml:space="preserve">higher education sector. All figures presented herein are expressed in Euros (EUR) and are subject to the terms and conditions outlined in Section 7 of this</w:t>
      </w:r>
      <w:r>
        <w:t xml:space="preserve"> </w:t>
      </w:r>
      <w:r>
        <w:t xml:space="preserve">Quotation Estimate</w:t>
      </w:r>
      <w:r>
        <w:t xml:space="preserve">.</w:t>
      </w:r>
    </w:p>
    <w:bookmarkEnd w:id="21"/>
    <w:bookmarkStart w:id="22" w:name="description-of-services"/>
    <w:p>
      <w:pPr>
        <w:pStyle w:val="Heading2"/>
      </w:pPr>
      <w:r>
        <w:t xml:space="preserve">2. Description of Services</w:t>
      </w:r>
    </w:p>
    <w:p>
      <w:pPr>
        <w:pStyle w:val="FirstParagraph"/>
      </w:pPr>
      <w:r>
        <w:t xml:space="preserve">Academic Talent Solutions B.V. shall provide the following services to facilitate the recruitment and integration of a</w:t>
      </w:r>
      <w:r>
        <w:t xml:space="preserve"> </w:t>
      </w:r>
      <w:r>
        <w:t xml:space="preserve">University Lecturer</w:t>
      </w:r>
      <w:r>
        <w:t xml:space="preserve"> </w:t>
      </w:r>
      <w:r>
        <w:t xml:space="preserve">into the University of Amsterdam, located in the heart of</w:t>
      </w:r>
      <w:r>
        <w:t xml:space="preserve"> </w:t>
      </w:r>
      <w:r>
        <w:t xml:space="preserve">Netherlands Amsterdam</w:t>
      </w:r>
      <w:r>
        <w:t xml:space="preserve">:</w:t>
      </w:r>
    </w:p>
    <w:p>
      <w:pPr>
        <w:numPr>
          <w:ilvl w:val="0"/>
          <w:numId w:val="1001"/>
        </w:numPr>
        <w:pStyle w:val="Compact"/>
      </w:pPr>
      <w:r>
        <w:t xml:space="preserve">Conducting a targeted search and screening of qualified</w:t>
      </w:r>
      <w:r>
        <w:t xml:space="preserve"> </w:t>
      </w:r>
      <w:r>
        <w:t xml:space="preserve">University Lecturer</w:t>
      </w:r>
      <w:r>
        <w:t xml:space="preserve"> </w:t>
      </w:r>
      <w:r>
        <w:t xml:space="preserve">candidates with expertise in European political integration, international law, and comparative governance, aligned with the pedagogical standards of Dutch higher education institutions.</w:t>
      </w:r>
    </w:p>
    <w:p>
      <w:pPr>
        <w:numPr>
          <w:ilvl w:val="0"/>
          <w:numId w:val="1001"/>
        </w:numPr>
        <w:pStyle w:val="Compact"/>
      </w:pPr>
      <w:r>
        <w:t xml:space="preserve">Managing the complete interview and assessment process, including academic panel evaluations, teaching demonstration sessions, and reference verification, in compliance with the Dutch Higher Education Act (Wet op het hoger onderwijs en wetenschappelijk onderzoek, WHW).</w:t>
      </w:r>
    </w:p>
    <w:p>
      <w:pPr>
        <w:numPr>
          <w:ilvl w:val="0"/>
          <w:numId w:val="1001"/>
        </w:numPr>
        <w:pStyle w:val="Compact"/>
      </w:pPr>
      <w:r>
        <w:t xml:space="preserve">Providing relocation and integration support for the selected</w:t>
      </w:r>
      <w:r>
        <w:t xml:space="preserve"> </w:t>
      </w:r>
      <w:r>
        <w:t xml:space="preserve">University Lecturer</w:t>
      </w:r>
      <w:r>
        <w:t xml:space="preserve">, including housing assistance in the Amsterdam metropolitan area, Dutch language orientation, and registration with the local municipality (gemeente) in Amsterdam.</w:t>
      </w:r>
    </w:p>
    <w:p>
      <w:pPr>
        <w:numPr>
          <w:ilvl w:val="0"/>
          <w:numId w:val="1001"/>
        </w:numPr>
        <w:pStyle w:val="Compact"/>
      </w:pPr>
      <w:r>
        <w:t xml:space="preserve">Delivering a structured onboarding programme covering the University of Amsterdam's academic calendar, research infrastructure, and the specific expectations of the</w:t>
      </w:r>
      <w:r>
        <w:t xml:space="preserve"> </w:t>
      </w:r>
      <w:r>
        <w:t xml:space="preserve">Netherlands Amsterdam</w:t>
      </w:r>
      <w:r>
        <w:t xml:space="preserve"> </w:t>
      </w:r>
      <w:r>
        <w:t xml:space="preserve">academic community.</w:t>
      </w:r>
    </w:p>
    <w:p>
      <w:pPr>
        <w:numPr>
          <w:ilvl w:val="0"/>
          <w:numId w:val="1001"/>
        </w:numPr>
        <w:pStyle w:val="Compact"/>
      </w:pPr>
      <w:r>
        <w:t xml:space="preserve">Offering a twelve-month post-placement support period during which our team shall monitor the</w:t>
      </w:r>
      <w:r>
        <w:t xml:space="preserve"> </w:t>
      </w:r>
      <w:r>
        <w:t xml:space="preserve">University Lecturer</w:t>
      </w:r>
      <w:r>
        <w:t xml:space="preserve">'s integration and address any administrative or professional concerns that may arise.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Initial candidate sourcing, database search, and shortlisting of</w:t>
            </w:r>
            <w:r>
              <w:t xml:space="preserve"> </w:t>
            </w:r>
            <w:r>
              <w:t xml:space="preserve">University Lecturer</w:t>
            </w:r>
            <w:r>
              <w:t xml:space="preserve"> </w:t>
            </w:r>
            <w:r>
              <w:t xml:space="preserve">profiles</w:t>
            </w:r>
          </w:p>
        </w:tc>
        <w:tc>
          <w:tcPr/>
          <w:p>
            <w:pPr>
              <w:pStyle w:val="Compact"/>
              <w:jc w:val="left"/>
            </w:pPr>
            <w:r>
              <w:t xml:space="preserve">4 weeks</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3.2</w:t>
            </w:r>
          </w:p>
        </w:tc>
        <w:tc>
          <w:tcPr/>
          <w:p>
            <w:pPr>
              <w:pStyle w:val="Compact"/>
              <w:jc w:val="left"/>
            </w:pPr>
            <w:r>
              <w:t xml:space="preserve">Interview coordination, academic panel organisation, and assessment administration in Amsterdam</w:t>
            </w:r>
          </w:p>
        </w:tc>
        <w:tc>
          <w:tcPr/>
          <w:p>
            <w:pPr>
              <w:pStyle w:val="Compact"/>
              <w:jc w:val="left"/>
            </w:pPr>
            <w:r>
              <w:t xml:space="preserve">3 weeks</w:t>
            </w:r>
          </w:p>
        </w:tc>
        <w:tc>
          <w:tcPr/>
          <w:p>
            <w:pPr>
              <w:pStyle w:val="Compact"/>
              <w:jc w:val="left"/>
            </w:pPr>
            <w:r>
              <w:t xml:space="preserve">€ 3,850.00</w:t>
            </w:r>
          </w:p>
        </w:tc>
        <w:tc>
          <w:tcPr/>
          <w:p>
            <w:pPr>
              <w:pStyle w:val="Compact"/>
              <w:jc w:val="left"/>
            </w:pPr>
            <w:r>
              <w:t xml:space="preserve">€ 3,850.00</w:t>
            </w:r>
          </w:p>
        </w:tc>
      </w:tr>
      <w:tr>
        <w:tc>
          <w:tcPr/>
          <w:p>
            <w:pPr>
              <w:pStyle w:val="Compact"/>
              <w:jc w:val="left"/>
            </w:pPr>
            <w:r>
              <w:t xml:space="preserve">3.3</w:t>
            </w:r>
          </w:p>
        </w:tc>
        <w:tc>
          <w:tcPr/>
          <w:p>
            <w:pPr>
              <w:pStyle w:val="Compact"/>
              <w:jc w:val="left"/>
            </w:pPr>
            <w:r>
              <w:t xml:space="preserve">Contract negotiation support and WHW compliance review for the</w:t>
            </w:r>
            <w:r>
              <w:t xml:space="preserve"> </w:t>
            </w:r>
            <w:r>
              <w:t xml:space="preserve">University Lecturer</w:t>
            </w:r>
            <w:r>
              <w:t xml:space="preserve"> </w:t>
            </w:r>
            <w:r>
              <w:t xml:space="preserve">appointment</w:t>
            </w:r>
          </w:p>
        </w:tc>
        <w:tc>
          <w:tcPr/>
          <w:p>
            <w:pPr>
              <w:pStyle w:val="Compact"/>
              <w:jc w:val="left"/>
            </w:pPr>
            <w:r>
              <w:t xml:space="preserve">2 weeks</w:t>
            </w:r>
          </w:p>
        </w:tc>
        <w:tc>
          <w:tcPr/>
          <w:p>
            <w:pPr>
              <w:pStyle w:val="Compact"/>
              <w:jc w:val="left"/>
            </w:pPr>
            <w:r>
              <w:t xml:space="preserve">€ 2,400.00</w:t>
            </w:r>
          </w:p>
        </w:tc>
        <w:tc>
          <w:tcPr/>
          <w:p>
            <w:pPr>
              <w:pStyle w:val="Compact"/>
              <w:jc w:val="left"/>
            </w:pPr>
            <w:r>
              <w:t xml:space="preserve">€ 2,400.00</w:t>
            </w:r>
          </w:p>
        </w:tc>
      </w:tr>
      <w:tr>
        <w:tc>
          <w:tcPr/>
          <w:p>
            <w:pPr>
              <w:pStyle w:val="Compact"/>
              <w:jc w:val="left"/>
            </w:pPr>
            <w:r>
              <w:t xml:space="preserve">3.4</w:t>
            </w:r>
          </w:p>
        </w:tc>
        <w:tc>
          <w:tcPr/>
          <w:p>
            <w:pPr>
              <w:pStyle w:val="Compact"/>
              <w:jc w:val="left"/>
            </w:pPr>
            <w:r>
              <w:t xml:space="preserve">Relocation package: temporary housing (3 months), municipal registration, and Dutch language course enrolment</w:t>
            </w:r>
          </w:p>
        </w:tc>
        <w:tc>
          <w:tcPr/>
          <w:p>
            <w:pPr>
              <w:pStyle w:val="Compact"/>
              <w:jc w:val="left"/>
            </w:pPr>
            <w:r>
              <w:t xml:space="preserve">3 months</w:t>
            </w:r>
          </w:p>
        </w:tc>
        <w:tc>
          <w:tcPr/>
          <w:p>
            <w:pPr>
              <w:pStyle w:val="Compact"/>
              <w:jc w:val="left"/>
            </w:pPr>
            <w:r>
              <w:t xml:space="preserve">€ 6,750.00</w:t>
            </w:r>
          </w:p>
        </w:tc>
        <w:tc>
          <w:tcPr/>
          <w:p>
            <w:pPr>
              <w:pStyle w:val="Compact"/>
              <w:jc w:val="left"/>
            </w:pPr>
            <w:r>
              <w:t xml:space="preserve">€ 6,750.00</w:t>
            </w:r>
          </w:p>
        </w:tc>
      </w:tr>
      <w:tr>
        <w:tc>
          <w:tcPr/>
          <w:p>
            <w:pPr>
              <w:pStyle w:val="Compact"/>
              <w:jc w:val="left"/>
            </w:pPr>
            <w:r>
              <w:t xml:space="preserve">3.5</w:t>
            </w:r>
          </w:p>
        </w:tc>
        <w:tc>
          <w:tcPr/>
          <w:p>
            <w:pPr>
              <w:pStyle w:val="Compact"/>
              <w:jc w:val="left"/>
            </w:pPr>
            <w:r>
              <w:t xml:space="preserve">Structured onboarding and integration programme within the</w:t>
            </w:r>
            <w:r>
              <w:t xml:space="preserve"> </w:t>
            </w:r>
            <w:r>
              <w:t xml:space="preserve">Netherlands Amsterdam</w:t>
            </w:r>
            <w:r>
              <w:t xml:space="preserve"> </w:t>
            </w:r>
            <w:r>
              <w:t xml:space="preserve">academic ecosystem</w:t>
            </w:r>
          </w:p>
        </w:tc>
        <w:tc>
          <w:tcPr/>
          <w:p>
            <w:pPr>
              <w:pStyle w:val="Compact"/>
              <w:jc w:val="left"/>
            </w:pPr>
            <w:r>
              <w:t xml:space="preserve">6 weeks</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3.6</w:t>
            </w:r>
          </w:p>
        </w:tc>
        <w:tc>
          <w:tcPr/>
          <w:p>
            <w:pPr>
              <w:pStyle w:val="Compact"/>
              <w:jc w:val="left"/>
            </w:pPr>
            <w:r>
              <w:t xml:space="preserve">Twelve-month post-placement monitoring and support for the</w:t>
            </w:r>
            <w:r>
              <w:t xml:space="preserve"> </w:t>
            </w:r>
            <w:r>
              <w:t xml:space="preserve">University Lecturer</w:t>
            </w:r>
          </w:p>
        </w:tc>
        <w:tc>
          <w:tcPr/>
          <w:p>
            <w:pPr>
              <w:pStyle w:val="Compact"/>
              <w:jc w:val="left"/>
            </w:pPr>
            <w:r>
              <w:t xml:space="preserve">12 months</w:t>
            </w:r>
          </w:p>
        </w:tc>
        <w:tc>
          <w:tcPr/>
          <w:p>
            <w:pPr>
              <w:pStyle w:val="Compact"/>
              <w:jc w:val="left"/>
            </w:pPr>
            <w:r>
              <w:t xml:space="preserve">€ 5,600.00</w:t>
            </w:r>
          </w:p>
        </w:tc>
        <w:tc>
          <w:tcPr/>
          <w:p>
            <w:pPr>
              <w:pStyle w:val="Compact"/>
              <w:jc w:val="left"/>
            </w:pPr>
            <w:r>
              <w:t xml:space="preserve">€ 5,600.00</w:t>
            </w:r>
          </w:p>
        </w:tc>
      </w:tr>
      <w:tr>
        <w:tc>
          <w:tcPr/>
          <w:p>
            <w:pPr>
              <w:pStyle w:val="Compact"/>
              <w:jc w:val="left"/>
            </w:pPr>
            <w:r>
              <w:t xml:space="preserve">3.7</w:t>
            </w:r>
          </w:p>
        </w:tc>
        <w:tc>
          <w:tcPr/>
          <w:p>
            <w:pPr>
              <w:pStyle w:val="Compact"/>
              <w:jc w:val="left"/>
            </w:pPr>
            <w:r>
              <w:t xml:space="preserve">Administrative overhead, project management, and reporting</w:t>
            </w:r>
          </w:p>
        </w:tc>
        <w:tc>
          <w:tcPr/>
          <w:p>
            <w:pPr>
              <w:pStyle w:val="Compact"/>
              <w:jc w:val="left"/>
            </w:pPr>
            <w:r>
              <w:t xml:space="preserve">Full engagement</w:t>
            </w:r>
          </w:p>
        </w:tc>
        <w:tc>
          <w:tcPr/>
          <w:p>
            <w:pPr>
              <w:pStyle w:val="Compact"/>
              <w:jc w:val="left"/>
            </w:pPr>
            <w:r>
              <w:t xml:space="preserve">€ 1,800.00</w:t>
            </w:r>
          </w:p>
        </w:tc>
        <w:tc>
          <w:tcPr/>
          <w:p>
            <w:pPr>
              <w:pStyle w:val="Compact"/>
              <w:jc w:val="left"/>
            </w:pPr>
            <w:r>
              <w:t xml:space="preserve">€ 1,800.00</w:t>
            </w:r>
          </w:p>
        </w:tc>
      </w:tr>
      <w:tr>
        <w:tc>
          <w:tcPr>
            <w:gridSpan w:val="4"/>
          </w:tcPr>
          <w:p>
            <w:pPr>
              <w:pStyle w:val="Compact"/>
              <w:jc w:val="right"/>
            </w:pPr>
            <w:r>
              <w:t xml:space="preserve">Subtotal (excl. VAT):</w:t>
            </w:r>
          </w:p>
        </w:tc>
        <w:tc>
          <w:tcPr/>
          <w:p>
            <w:pPr>
              <w:pStyle w:val="Compact"/>
              <w:jc w:val="left"/>
            </w:pPr>
            <w:r>
              <w:t xml:space="preserve">€ 27,800.00</w:t>
            </w:r>
          </w:p>
        </w:tc>
      </w:tr>
      <w:tr>
        <w:tc>
          <w:tcPr>
            <w:gridSpan w:val="4"/>
          </w:tcPr>
          <w:p>
            <w:pPr>
              <w:pStyle w:val="Compact"/>
              <w:jc w:val="right"/>
            </w:pPr>
            <w:r>
              <w:t xml:space="preserve">VAT (21%):</w:t>
            </w:r>
          </w:p>
        </w:tc>
        <w:tc>
          <w:tcPr/>
          <w:p>
            <w:pPr>
              <w:pStyle w:val="Compact"/>
              <w:jc w:val="left"/>
            </w:pPr>
            <w:r>
              <w:t xml:space="preserve">€ 5,838.00</w:t>
            </w:r>
          </w:p>
        </w:tc>
      </w:tr>
      <w:tr>
        <w:tc>
          <w:tcPr>
            <w:gridSpan w:val="4"/>
          </w:tcPr>
          <w:p>
            <w:pPr>
              <w:pStyle w:val="Compact"/>
              <w:jc w:val="right"/>
            </w:pPr>
            <w:r>
              <w:t xml:space="preserve">Grand Total (incl. VAT):</w:t>
            </w:r>
          </w:p>
        </w:tc>
        <w:tc>
          <w:tcPr/>
          <w:p>
            <w:pPr>
              <w:pStyle w:val="Compact"/>
              <w:jc w:val="left"/>
            </w:pPr>
            <w:r>
              <w:t xml:space="preserve">€ 33,638.00</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for the engagement of the</w:t>
      </w:r>
      <w:r>
        <w:t xml:space="preserve"> </w:t>
      </w:r>
      <w:r>
        <w:t xml:space="preserve">University Lecturer</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(€ 10,091.40) due upon written acceptance of this</w:t>
      </w:r>
      <w:r>
        <w:t xml:space="preserve"> </w:t>
      </w:r>
      <w:r>
        <w:t xml:space="preserve">Quotation Estimate</w:t>
      </w:r>
      <w:r>
        <w:t xml:space="preserve"> </w:t>
      </w:r>
      <w:r>
        <w:t xml:space="preserve">and execution of the service agreement.</w:t>
      </w:r>
    </w:p>
    <w:p>
      <w:pPr>
        <w:numPr>
          <w:ilvl w:val="0"/>
          <w:numId w:val="1002"/>
        </w:numPr>
        <w:pStyle w:val="Compact"/>
      </w:pPr>
      <w:r>
        <w:rPr>
          <w:bCs/>
          <w:b/>
        </w:rPr>
        <w:t xml:space="preserve">40% milestone payment</w:t>
      </w:r>
      <w:r>
        <w:t xml:space="preserve"> </w:t>
      </w:r>
      <w:r>
        <w:t xml:space="preserve">(€ 13,455.20) due upon successful completion of the interview and selection phase and formal offer acceptance by the</w:t>
      </w:r>
      <w:r>
        <w:t xml:space="preserve"> </w:t>
      </w:r>
      <w:r>
        <w:t xml:space="preserve">University Lecturer</w:t>
      </w:r>
      <w:r>
        <w:t xml:space="preserve">.</w:t>
      </w:r>
    </w:p>
    <w:p>
      <w:pPr>
        <w:numPr>
          <w:ilvl w:val="0"/>
          <w:numId w:val="1002"/>
        </w:numPr>
        <w:pStyle w:val="Compact"/>
      </w:pPr>
      <w:r>
        <w:rPr>
          <w:bCs/>
          <w:b/>
        </w:rPr>
        <w:t xml:space="preserve">30% final payment</w:t>
      </w:r>
      <w:r>
        <w:t xml:space="preserve"> </w:t>
      </w:r>
      <w:r>
        <w:t xml:space="preserve">(€ 10,091.40) due upon completion of the onboarding programme and commencement of the twelve-month support period.</w:t>
      </w:r>
    </w:p>
    <w:p>
      <w:pPr>
        <w:pStyle w:val="FirstParagraph"/>
      </w:pPr>
      <w:r>
        <w:t xml:space="preserve">All payments shall be made via bank transfer to the account of Academic Talent Solutions B.V. at ING Bank, IBAN: NL91 INGB 0000 1234 56, BIC: INGBNL2A. Invoices shall be issued in accordance with Dutch fiscal regulations applicable in</w:t>
      </w:r>
      <w:r>
        <w:t xml:space="preserve"> </w:t>
      </w:r>
      <w:r>
        <w:t xml:space="preserve">Netherlands Amsterdam</w:t>
      </w:r>
      <w:r>
        <w:t xml:space="preserve">.</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University of Amsterdam will provide a dedicated point of contact and timely access to academic panel members for the</w:t>
      </w:r>
      <w:r>
        <w:t xml:space="preserve"> </w:t>
      </w:r>
      <w:r>
        <w:t xml:space="preserve">University Lecturer</w:t>
      </w:r>
      <w:r>
        <w:t xml:space="preserve"> </w:t>
      </w:r>
      <w:r>
        <w:t xml:space="preserve">selection process. The following items are excluded from the total amount: the</w:t>
      </w:r>
      <w:r>
        <w:t xml:space="preserve"> </w:t>
      </w:r>
      <w:r>
        <w:t xml:space="preserve">University Lecturer</w:t>
      </w:r>
      <w:r>
        <w:t xml:space="preserve">'s annual salary and benefits (to be determined separately by the University in accordance with the Dutch Academic Labour Agreement, CAO-HBO/WO), international airfare for the candidate, and any additional research funding or grant administration. Should the scope of the</w:t>
      </w:r>
      <w:r>
        <w:t xml:space="preserve"> </w:t>
      </w:r>
      <w:r>
        <w:t xml:space="preserve">University Lecturer</w:t>
      </w:r>
      <w:r>
        <w:t xml:space="preserve"> </w:t>
      </w:r>
      <w:r>
        <w:t xml:space="preserve">engagement be expanded beyond the parameters described herein, a supplementary</w:t>
      </w:r>
      <w:r>
        <w:t xml:space="preserve"> </w:t>
      </w:r>
      <w:r>
        <w:t xml:space="preserve">Quotation Estimate</w:t>
      </w:r>
      <w:r>
        <w:t xml:space="preserve"> </w:t>
      </w:r>
      <w:r>
        <w:t xml:space="preserve">shall be issued prior to any additional work commencing.</w:t>
      </w:r>
    </w:p>
    <w:bookmarkEnd w:id="25"/>
    <w:bookmarkStart w:id="26" w:name="validity-and-acceptance"/>
    <w:p>
      <w:pPr>
        <w:pStyle w:val="Heading2"/>
      </w:pPr>
      <w:r>
        <w:t xml:space="preserve">6. Validity and Acceptance</w:t>
      </w:r>
    </w:p>
    <w:p>
      <w:pPr>
        <w:pStyle w:val="FirstParagraph"/>
      </w:pPr>
      <w:r>
        <w:t xml:space="preserve">This</w:t>
      </w:r>
      <w:r>
        <w:t xml:space="preserve"> </w:t>
      </w:r>
      <w:r>
        <w:t xml:space="preserve">Quotation Estimate</w:t>
      </w:r>
      <w:r>
        <w:t xml:space="preserve"> </w:t>
      </w:r>
      <w:r>
        <w:t xml:space="preserve">remains valid for a period of ninety (90) calendar days from the date of issue, expiring on 14 September 2025. Acceptance of this</w:t>
      </w:r>
      <w:r>
        <w:t xml:space="preserve"> </w:t>
      </w:r>
      <w:r>
        <w:t xml:space="preserve">Quotation Estimate</w:t>
      </w:r>
      <w:r>
        <w:t xml:space="preserve"> </w:t>
      </w:r>
      <w:r>
        <w:t xml:space="preserve">constitutes a binding agreement between Academic Talent Solutions B.V. and the University of Amsterdam for the recruitment and integration of the</w:t>
      </w:r>
      <w:r>
        <w:t xml:space="preserve"> </w:t>
      </w:r>
      <w:r>
        <w:t xml:space="preserve">University Lecturer</w:t>
      </w:r>
      <w:r>
        <w:t xml:space="preserve"> </w:t>
      </w:r>
      <w:r>
        <w:t xml:space="preserve">as described. Any modifications to the scope, timeline, or financial terms must be documented in a written addendum signed by both parties.</w:t>
      </w:r>
    </w:p>
    <w:bookmarkEnd w:id="26"/>
    <w:bookmarkStart w:id="27" w:name="terms-and-conditions"/>
    <w:p>
      <w:pPr>
        <w:pStyle w:val="Heading2"/>
      </w:pPr>
      <w:r>
        <w:t xml:space="preserve">7. Terms and Conditions</w:t>
      </w:r>
    </w:p>
    <w:p>
      <w:pPr>
        <w:numPr>
          <w:ilvl w:val="0"/>
          <w:numId w:val="1003"/>
        </w:numPr>
        <w:pStyle w:val="Compact"/>
      </w:pPr>
      <w:r>
        <w:t xml:space="preserve">This</w:t>
      </w:r>
      <w:r>
        <w:t xml:space="preserve"> </w:t>
      </w:r>
      <w:r>
        <w:t xml:space="preserve">Quotation Estimate</w:t>
      </w:r>
      <w:r>
        <w:t xml:space="preserve"> </w:t>
      </w:r>
      <w:r>
        <w:t xml:space="preserve">is governed by the laws of the Kingdom of the Netherlands, with jurisdiction vested in the District Court of Amsterdam.</w:t>
      </w:r>
    </w:p>
    <w:p>
      <w:pPr>
        <w:numPr>
          <w:ilvl w:val="0"/>
          <w:numId w:val="1003"/>
        </w:numPr>
        <w:pStyle w:val="Compact"/>
      </w:pPr>
      <w:r>
        <w:t xml:space="preserve">Academic Talent Solutions B.V. shall maintain full confidentiality regarding all candidate data in compliance with the EU General Data Protection Regulation (GDPR) and Dutch privacy legislation (AVG).</w:t>
      </w:r>
    </w:p>
    <w:p>
      <w:pPr>
        <w:numPr>
          <w:ilvl w:val="0"/>
          <w:numId w:val="1003"/>
        </w:numPr>
        <w:pStyle w:val="Compact"/>
      </w:pPr>
      <w:r>
        <w:t xml:space="preserve">The</w:t>
      </w:r>
      <w:r>
        <w:t xml:space="preserve"> </w:t>
      </w:r>
      <w:r>
        <w:t xml:space="preserve">University Lecturer</w:t>
      </w:r>
      <w:r>
        <w:t xml:space="preserve"> </w:t>
      </w:r>
      <w:r>
        <w:t xml:space="preserve">selected through this process shall be employed directly by the University of Amsterdam; Academic Talent Solutions B.V. acts solely as a recruitment and integration intermediary.</w:t>
      </w:r>
    </w:p>
    <w:p>
      <w:pPr>
        <w:numPr>
          <w:ilvl w:val="0"/>
          <w:numId w:val="1003"/>
        </w:numPr>
        <w:pStyle w:val="Compact"/>
      </w:pPr>
      <w:r>
        <w:t xml:space="preserve">Force majeure events, including but not limited to government-mandated closures of academic institutions in</w:t>
      </w:r>
      <w:r>
        <w:t xml:space="preserve"> </w:t>
      </w:r>
      <w:r>
        <w:t xml:space="preserve">Netherlands Amsterdam</w:t>
      </w:r>
      <w:r>
        <w:t xml:space="preserve">, shall suspend the project timeline without penalty to either party.</w:t>
      </w:r>
    </w:p>
    <w:p>
      <w:pPr>
        <w:numPr>
          <w:ilvl w:val="0"/>
          <w:numId w:val="1003"/>
        </w:numPr>
        <w:pStyle w:val="Compact"/>
      </w:pPr>
      <w:r>
        <w:t xml:space="preserve">Disputes arising from this</w:t>
      </w:r>
      <w:r>
        <w:t xml:space="preserve"> </w:t>
      </w:r>
      <w:r>
        <w:t xml:space="preserve">Quotation Estimate</w:t>
      </w:r>
      <w:r>
        <w:t xml:space="preserve"> </w:t>
      </w:r>
      <w:r>
        <w:t xml:space="preserve">shall first be subject to good-faith mediation before escalation to formal legal proceedings.</w:t>
      </w:r>
    </w:p>
    <w:bookmarkEnd w:id="27"/>
    <w:bookmarkStart w:id="28" w:name="acceptance-of-quotation-estimate"/>
    <w:p>
      <w:pPr>
        <w:pStyle w:val="Heading2"/>
      </w:pPr>
      <w:r>
        <w:t xml:space="preserve">Acceptance of Quotation Estimate</w:t>
      </w:r>
    </w:p>
    <w:p>
      <w:pPr>
        <w:pStyle w:val="FirstParagraph"/>
      </w:pPr>
      <w:r>
        <w:t xml:space="preserve">By signing below, the undersigned parties confirm their acceptance of this</w:t>
      </w:r>
      <w:r>
        <w:t xml:space="preserve"> </w:t>
      </w:r>
      <w:r>
        <w:t xml:space="preserve">Quotation Estimate</w:t>
      </w:r>
      <w:r>
        <w:t xml:space="preserve"> </w:t>
      </w:r>
      <w:r>
        <w:t xml:space="preserve">for the recruitment and integration of a</w:t>
      </w:r>
      <w:r>
        <w:t xml:space="preserve"> </w:t>
      </w:r>
      <w:r>
        <w:t xml:space="preserve">University Lecturer</w:t>
      </w:r>
      <w:r>
        <w:t xml:space="preserve"> </w:t>
      </w:r>
      <w:r>
        <w:t xml:space="preserve">at the University of Amsterdam,</w:t>
      </w:r>
      <w:r>
        <w:t xml:space="preserve"> </w:t>
      </w:r>
      <w:r>
        <w:t xml:space="preserve">Netherlands Amsterdam</w:t>
      </w:r>
      <w:r>
        <w:t xml:space="preserve">, under the terms and conditions set forth herein.</w:t>
      </w:r>
    </w:p>
    <w:p>
      <w:pPr>
        <w:pStyle w:val="BodyText"/>
      </w:pPr>
      <w:r>
        <w:t xml:space="preserve">For Academic Talent Solutions B.V.:</w:t>
      </w:r>
    </w:p>
    <w:p>
      <w:pPr>
        <w:pStyle w:val="BodyText"/>
      </w:pPr>
      <w:r>
        <w:t xml:space="preserve">Name: J. de Vries,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For the University of Amsterdam:</w:t>
      </w:r>
    </w:p>
    <w:p>
      <w:pPr>
        <w:pStyle w:val="BodyText"/>
      </w:pPr>
      <w:r>
        <w:t xml:space="preserve">Name: Prof. Dr. M. van der Berg, Dean</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This Quotation Estimate (QTE-2025-AMST-0472) was prepared by Academic Talent Solutions B.V., Keizersgracht 245, 1016 CW Amsterdam, Netherlands.</w:t>
      </w:r>
      <w:r>
        <w:br/>
      </w:r>
      <w:r>
        <w:t xml:space="preserve">KVK: 87654321 • BTW: NL861234567B01 • This document is valid only when bearing the original signature and company stamp.</w:t>
      </w:r>
      <w:r>
        <w:br/>
      </w:r>
      <w:r>
        <w:t xml:space="preserve">© 2025 Academic Talent Solutions B.V.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Netherlands Amsterdam</dc:title>
  <dc:creator/>
  <dc:language>en</dc:language>
  <cp:keywords/>
  <dcterms:created xsi:type="dcterms:W3CDTF">2026-10-10T09:13:39Z</dcterms:created>
  <dcterms:modified xsi:type="dcterms:W3CDTF">2026-10-10T09:13:39Z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