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Russia</w:t>
      </w:r>
      <w:r>
        <w:t xml:space="preserve"> </w:t>
      </w:r>
      <w:r>
        <w:t xml:space="preserve">Moscow</w:t>
      </w:r>
    </w:p>
    <w:bookmarkStart w:id="21" w:name="quotation-estimate"/>
    <w:p>
      <w:pPr>
        <w:pStyle w:val="Heading1"/>
      </w:pPr>
      <w:r>
        <w:t xml:space="preserve">QUOTATION ESTIMATE</w:t>
      </w:r>
    </w:p>
    <w:bookmarkStart w:id="20" w:name="X2bfa3c98211aa8a7935644377cbb2819997dcf5"/>
    <w:p>
      <w:pPr>
        <w:pStyle w:val="Heading2"/>
      </w:pPr>
      <w:r>
        <w:t xml:space="preserve">University Lecturer Services — Russia Moscow</w:t>
      </w:r>
    </w:p>
    <w:p>
      <w:pPr>
        <w:pStyle w:val="FirstParagraph"/>
      </w:pPr>
      <w:r>
        <w:t xml:space="preserve">Moscow State Academic Institute of Higher Education — Faculty of International Programs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QTE-RM-2025-04782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w:t>
            </w:r>
          </w:p>
        </w:tc>
      </w:tr>
      <w:tr>
        <w:tc>
          <w:tcPr/>
          <w:p>
            <w:pPr>
              <w:pStyle w:val="Compact"/>
              <w:jc w:val="left"/>
            </w:pPr>
            <w:r>
              <w:t xml:space="preserve">Prepared For:</w:t>
            </w:r>
          </w:p>
        </w:tc>
        <w:tc>
          <w:tcPr/>
          <w:p>
            <w:pPr>
              <w:pStyle w:val="Compact"/>
              <w:jc w:val="left"/>
            </w:pPr>
            <w:r>
              <w:t xml:space="preserve">Dr. Elena V. Sokolova, Dean of Faculty, Moscow State Academic Institute of Higher Education, 125009 Moscow, Leninsky Gorny Proezd 1, Russia</w:t>
            </w:r>
          </w:p>
        </w:tc>
      </w:tr>
      <w:tr>
        <w:tc>
          <w:tcPr/>
          <w:p>
            <w:pPr>
              <w:pStyle w:val="Compact"/>
              <w:jc w:val="left"/>
            </w:pPr>
            <w:r>
              <w:t xml:space="preserve">Prepared By:</w:t>
            </w:r>
          </w:p>
        </w:tc>
        <w:tc>
          <w:tcPr/>
          <w:p>
            <w:pPr>
              <w:pStyle w:val="Compact"/>
              <w:jc w:val="left"/>
            </w:pPr>
            <w:r>
              <w:t xml:space="preserve">Mr. Alexander D. Petrov, Head of Academic Recruitment Division, Moscow, Russia</w:t>
            </w:r>
          </w:p>
        </w:tc>
      </w:tr>
      <w:tr>
        <w:tc>
          <w:tcPr/>
          <w:p>
            <w:pPr>
              <w:pStyle w:val="Compact"/>
              <w:jc w:val="left"/>
            </w:pPr>
            <w:r>
              <w:t xml:space="preserve">Position:</w:t>
            </w:r>
          </w:p>
        </w:tc>
        <w:tc>
          <w:tcPr/>
          <w:p>
            <w:pPr>
              <w:pStyle w:val="Compact"/>
              <w:jc w:val="left"/>
            </w:pPr>
            <w:r>
              <w:t xml:space="preserve">University Lecturer (Full-Time, Academic Year 2025/2026)</w:t>
            </w:r>
          </w:p>
        </w:tc>
      </w:tr>
      <w:tr>
        <w:tc>
          <w:tcPr/>
          <w:p>
            <w:pPr>
              <w:pStyle w:val="Compact"/>
              <w:jc w:val="left"/>
            </w:pPr>
            <w:r>
              <w:t xml:space="preserve">Department:</w:t>
            </w:r>
          </w:p>
        </w:tc>
        <w:tc>
          <w:tcPr/>
          <w:p>
            <w:pPr>
              <w:pStyle w:val="Compact"/>
              <w:jc w:val="left"/>
            </w:pPr>
            <w:r>
              <w:t xml:space="preserve">Faculty of Economics and International Trade, Russia Moscow Campus</w:t>
            </w:r>
          </w:p>
        </w:tc>
      </w:tr>
    </w:tbl>
    <w:bookmarkStart w:id="22" w:name="Xbe61b30a0eca4edaca72fb3031d8a8b86abe986"/>
    <w:p>
      <w:pPr>
        <w:pStyle w:val="Heading3"/>
      </w:pPr>
      <w:r>
        <w:t xml:space="preserve">1. Scope of Services — University Lecturer, Russia Moscow</w:t>
      </w:r>
    </w:p>
    <w:p>
      <w:pPr>
        <w:pStyle w:val="FirstParagraph"/>
      </w:pPr>
      <w:r>
        <w:t xml:space="preserve">This Quotation Estimate is issued in response to the formal request submitted by the Faculty of Economics and International Trade at the Moscow State Academic Institute of Higher Education for the recruitment and engagement of a qualified</w:t>
      </w:r>
      <w:r>
        <w:t xml:space="preserve"> </w:t>
      </w:r>
      <w:r>
        <w:t xml:space="preserve">University Lecturer</w:t>
      </w:r>
      <w:r>
        <w:t xml:space="preserve"> </w:t>
      </w:r>
      <w:r>
        <w:t xml:space="preserve">to deliver academic instruction, supervise research, and contribute to the scholarly mission of the institution within the</w:t>
      </w:r>
      <w:r>
        <w:t xml:space="preserve"> </w:t>
      </w:r>
      <w:r>
        <w:t xml:space="preserve">Russia Moscow</w:t>
      </w:r>
      <w:r>
        <w:t xml:space="preserve"> </w:t>
      </w:r>
      <w:r>
        <w:t xml:space="preserve">metropolitan academic zone. The scope of services encompasses all duties, responsibilities, and deliverables associated with a full-time University Lecturer appointment for the 2025/2026 academic year, commencing 1 September 2025 and concluding 30 June 2026.</w:t>
      </w:r>
    </w:p>
    <w:bookmarkEnd w:id="22"/>
    <w:bookmarkStart w:id="23" w:name="detailed-cost-breakdown"/>
    <w:p>
      <w:pPr>
        <w:pStyle w:val="Heading3"/>
      </w:pPr>
      <w:r>
        <w:t xml:space="preserve">2.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Base Annual Salary — University Lecturer (PhD-qualified), Russia Moscow academic salary scale, Grade 7</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Sep 2025 – Aug 2026</w:t>
            </w:r>
          </w:p>
        </w:tc>
      </w:tr>
      <w:tr>
        <w:tc>
          <w:tcPr/>
          <w:p>
            <w:pPr>
              <w:pStyle w:val="Compact"/>
              <w:jc w:val="left"/>
            </w:pPr>
            <w:r>
              <w:t xml:space="preserve">2</w:t>
            </w:r>
          </w:p>
        </w:tc>
        <w:tc>
          <w:tcPr/>
          <w:p>
            <w:pPr>
              <w:pStyle w:val="Compact"/>
              <w:jc w:val="left"/>
            </w:pPr>
            <w:r>
              <w:t xml:space="preserve">Teaching Load Allowance — 360 contact hours per academic year (lectures, seminars, laboratory sessions)</w:t>
            </w:r>
          </w:p>
        </w:tc>
        <w:tc>
          <w:tcPr/>
          <w:p>
            <w:pPr>
              <w:pStyle w:val="Compact"/>
              <w:jc w:val="left"/>
            </w:pPr>
            <w:r>
              <w:t xml:space="preserve">360 hrs</w:t>
            </w:r>
          </w:p>
        </w:tc>
        <w:tc>
          <w:tcPr/>
          <w:p>
            <w:pPr>
              <w:pStyle w:val="Compact"/>
              <w:jc w:val="left"/>
            </w:pPr>
            <w:r>
              <w:t xml:space="preserve">1,200</w:t>
            </w:r>
          </w:p>
        </w:tc>
        <w:tc>
          <w:tcPr/>
          <w:p>
            <w:pPr>
              <w:pStyle w:val="Compact"/>
              <w:jc w:val="left"/>
            </w:pPr>
            <w:r>
              <w:t xml:space="preserve">432,000</w:t>
            </w:r>
          </w:p>
        </w:tc>
        <w:tc>
          <w:tcPr/>
          <w:p>
            <w:pPr>
              <w:pStyle w:val="Compact"/>
              <w:jc w:val="left"/>
            </w:pPr>
            <w:r>
              <w:t xml:space="preserve">Academic Year</w:t>
            </w:r>
          </w:p>
        </w:tc>
      </w:tr>
      <w:tr>
        <w:tc>
          <w:tcPr/>
          <w:p>
            <w:pPr>
              <w:pStyle w:val="Compact"/>
              <w:jc w:val="left"/>
            </w:pPr>
            <w:r>
              <w:t xml:space="preserve">3</w:t>
            </w:r>
          </w:p>
        </w:tc>
        <w:tc>
          <w:tcPr/>
          <w:p>
            <w:pPr>
              <w:pStyle w:val="Compact"/>
              <w:jc w:val="left"/>
            </w:pPr>
            <w:r>
              <w:t xml:space="preserve">Research &amp; Publication Grant — Annual stipend for peer-reviewed publications in indexed journals (minimum 3 per year)</w:t>
            </w:r>
          </w:p>
        </w:tc>
        <w:tc>
          <w:tcPr/>
          <w:p>
            <w:pPr>
              <w:pStyle w:val="Compact"/>
              <w:jc w:val="left"/>
            </w:pPr>
            <w:r>
              <w:t xml:space="preserve">1 grant</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Academic Year</w:t>
            </w:r>
          </w:p>
        </w:tc>
      </w:tr>
      <w:tr>
        <w:tc>
          <w:tcPr/>
          <w:p>
            <w:pPr>
              <w:pStyle w:val="Compact"/>
              <w:jc w:val="left"/>
            </w:pPr>
            <w:r>
              <w:t xml:space="preserve">4</w:t>
            </w:r>
          </w:p>
        </w:tc>
        <w:tc>
          <w:tcPr/>
          <w:p>
            <w:pPr>
              <w:pStyle w:val="Compact"/>
              <w:jc w:val="left"/>
            </w:pPr>
            <w:r>
              <w:t xml:space="preserve">Student Supervision — Supervision of up to 6 Master's theses and 3 PhD dissertations</w:t>
            </w:r>
          </w:p>
        </w:tc>
        <w:tc>
          <w:tcPr/>
          <w:p>
            <w:pPr>
              <w:pStyle w:val="Compact"/>
              <w:jc w:val="left"/>
            </w:pPr>
            <w:r>
              <w:t xml:space="preserve">9 students</w:t>
            </w:r>
          </w:p>
        </w:tc>
        <w:tc>
          <w:tcPr/>
          <w:p>
            <w:pPr>
              <w:pStyle w:val="Compact"/>
              <w:jc w:val="left"/>
            </w:pPr>
            <w:r>
              <w:t xml:space="preserve">8,000</w:t>
            </w:r>
          </w:p>
        </w:tc>
        <w:tc>
          <w:tcPr/>
          <w:p>
            <w:pPr>
              <w:pStyle w:val="Compact"/>
              <w:jc w:val="left"/>
            </w:pPr>
            <w:r>
              <w:t xml:space="preserve">72,000</w:t>
            </w:r>
          </w:p>
        </w:tc>
        <w:tc>
          <w:tcPr/>
          <w:p>
            <w:pPr>
              <w:pStyle w:val="Compact"/>
              <w:jc w:val="left"/>
            </w:pPr>
            <w:r>
              <w:t xml:space="preserve">Academic Year</w:t>
            </w:r>
          </w:p>
        </w:tc>
      </w:tr>
      <w:tr>
        <w:tc>
          <w:tcPr/>
          <w:p>
            <w:pPr>
              <w:pStyle w:val="Compact"/>
              <w:jc w:val="left"/>
            </w:pPr>
            <w:r>
              <w:t xml:space="preserve">5</w:t>
            </w:r>
          </w:p>
        </w:tc>
        <w:tc>
          <w:tcPr/>
          <w:p>
            <w:pPr>
              <w:pStyle w:val="Compact"/>
              <w:jc w:val="left"/>
            </w:pPr>
            <w:r>
              <w:t xml:space="preserve">Relocation &amp; Resettlement Package — One-time payment for relocation to Russia Moscow (flights, temporary housing, registration)</w:t>
            </w:r>
          </w:p>
        </w:tc>
        <w:tc>
          <w:tcPr/>
          <w:p>
            <w:pPr>
              <w:pStyle w:val="Compact"/>
              <w:jc w:val="left"/>
            </w:pPr>
            <w:r>
              <w:t xml:space="preserve">1 package</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Housing Subsidy — Monthly accommodation allowance within Moscow city limits (Russia Moscow metropolitan area)</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Sep 2025 – Aug 2026</w:t>
            </w:r>
          </w:p>
        </w:tc>
      </w:tr>
      <w:tr>
        <w:tc>
          <w:tcPr/>
          <w:p>
            <w:pPr>
              <w:pStyle w:val="Compact"/>
              <w:jc w:val="left"/>
            </w:pPr>
            <w:r>
              <w:t xml:space="preserve">7</w:t>
            </w:r>
          </w:p>
        </w:tc>
        <w:tc>
          <w:tcPr/>
          <w:p>
            <w:pPr>
              <w:pStyle w:val="Compact"/>
              <w:jc w:val="left"/>
            </w:pPr>
            <w:r>
              <w:t xml:space="preserve">Health Insurance &amp; Medical Coverage — Comprehensive private health insurance policy valid in Russia Moscow and all Russian Federation regions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Academic Year</w:t>
            </w:r>
          </w:p>
        </w:tc>
      </w:tr>
      <w:tr>
        <w:tc>
          <w:tcPr/>
          <w:p>
            <w:pPr>
              <w:pStyle w:val="Compact"/>
              <w:jc w:val="left"/>
            </w:pPr>
            <w:r>
              <w:t xml:space="preserve">8</w:t>
            </w:r>
          </w:p>
        </w:tc>
        <w:tc>
          <w:tcPr/>
          <w:p>
            <w:pPr>
              <w:pStyle w:val="Compact"/>
              <w:jc w:val="left"/>
            </w:pPr>
            <w:r>
              <w:t xml:space="preserve">Professional Development &amp; Conference Travel — Annual budget for attendance at 2 international academic conferences</w:t>
            </w:r>
          </w:p>
        </w:tc>
        <w:tc>
          <w:tcPr/>
          <w:p>
            <w:pPr>
              <w:pStyle w:val="Compact"/>
              <w:jc w:val="left"/>
            </w:pPr>
            <w:r>
              <w:t xml:space="preserve">2 conferences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Academic Year</w:t>
            </w:r>
          </w:p>
        </w:tc>
      </w:tr>
      <w:tr>
        <w:tc>
          <w:tcPr/>
          <w:p>
            <w:pPr>
              <w:pStyle w:val="Compact"/>
              <w:jc w:val="left"/>
            </w:pPr>
            <w:r>
              <w:t xml:space="preserve">9</w:t>
            </w:r>
          </w:p>
        </w:tc>
        <w:tc>
          <w:tcPr/>
          <w:p>
            <w:pPr>
              <w:pStyle w:val="Compact"/>
              <w:jc w:val="left"/>
            </w:pPr>
            <w:r>
              <w:t xml:space="preserve">Language Training — Russian language proficiency courses (C1 level target) for non-native speakers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Academic Year</w:t>
            </w:r>
          </w:p>
        </w:tc>
      </w:tr>
      <w:tr>
        <w:tc>
          <w:tcPr/>
          <w:p>
            <w:pPr>
              <w:pStyle w:val="Compact"/>
              <w:jc w:val="left"/>
            </w:pPr>
            <w:r>
              <w:t xml:space="preserve">10</w:t>
            </w:r>
          </w:p>
        </w:tc>
        <w:tc>
          <w:tcPr/>
          <w:p>
            <w:pPr>
              <w:pStyle w:val="Compact"/>
              <w:jc w:val="left"/>
            </w:pPr>
            <w:r>
              <w:t xml:space="preserve">Administrative &amp; Visa Processing Fees — Work permit, residence registration (propiska), and visa sponsorship for Russia Moscow</w:t>
            </w:r>
          </w:p>
        </w:tc>
        <w:tc>
          <w:tcPr/>
          <w:p>
            <w:pPr>
              <w:pStyle w:val="Compact"/>
              <w:jc w:val="left"/>
            </w:pPr>
            <w:r>
              <w:t xml:space="preserve">1 package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w:t>
            </w:r>
          </w:p>
        </w:tc>
      </w:tr>
      <w:tr>
        <w:tc>
          <w:tcPr>
            <w:gridSpan w:val="4"/>
          </w:tcPr>
          <w:p>
            <w:pPr>
              <w:pStyle w:val="Compact"/>
              <w:jc w:val="left"/>
            </w:pPr>
            <w:r>
              <w:t xml:space="preserve">SUBTOTAL (RUB)</w:t>
            </w:r>
          </w:p>
        </w:tc>
        <w:tc>
          <w:tcPr/>
          <w:p>
            <w:pPr>
              <w:pStyle w:val="Compact"/>
              <w:jc w:val="left"/>
            </w:pPr>
            <w:r>
              <w:t xml:space="preserve">4,443,000</w:t>
            </w:r>
          </w:p>
        </w:tc>
        <w:tc>
          <w:tcPr/>
          <w:p>
            <w:pPr>
              <w:pStyle w:val="Compact"/>
            </w:pPr>
          </w:p>
        </w:tc>
      </w:tr>
      <w:tr>
        <w:tc>
          <w:tcPr>
            <w:gridSpan w:val="4"/>
          </w:tcPr>
          <w:p>
            <w:pPr>
              <w:pStyle w:val="Compact"/>
              <w:jc w:val="left"/>
            </w:pPr>
            <w:r>
              <w:t xml:space="preserve">VAT (20% — Russian Federation standard rate)</w:t>
            </w:r>
          </w:p>
        </w:tc>
        <w:tc>
          <w:tcPr/>
          <w:p>
            <w:pPr>
              <w:pStyle w:val="Compact"/>
              <w:jc w:val="left"/>
            </w:pPr>
            <w:r>
              <w:t xml:space="preserve">888,600</w:t>
            </w:r>
          </w:p>
        </w:tc>
        <w:tc>
          <w:tcPr/>
          <w:p>
            <w:pPr>
              <w:pStyle w:val="Compact"/>
            </w:pPr>
          </w:p>
        </w:tc>
      </w:tr>
      <w:tr>
        <w:tc>
          <w:tcPr>
            <w:gridSpan w:val="4"/>
          </w:tcPr>
          <w:p>
            <w:pPr>
              <w:pStyle w:val="Compact"/>
              <w:jc w:val="left"/>
            </w:pPr>
            <w:r>
              <w:t xml:space="preserve">TOTAL QUOTATION ESTIMATE AMOUNT (RUB)</w:t>
            </w:r>
          </w:p>
        </w:tc>
        <w:tc>
          <w:tcPr/>
          <w:p>
            <w:pPr>
              <w:pStyle w:val="Compact"/>
              <w:jc w:val="left"/>
            </w:pPr>
            <w:r>
              <w:t xml:space="preserve">5,331,600</w:t>
            </w:r>
          </w:p>
        </w:tc>
        <w:tc>
          <w:tcPr/>
          <w:p>
            <w:pPr>
              <w:pStyle w:val="Compact"/>
            </w:pPr>
          </w:p>
        </w:tc>
      </w:tr>
    </w:tbl>
    <w:bookmarkEnd w:id="23"/>
    <w:bookmarkStart w:id="24" w:name="payment-schedule"/>
    <w:p>
      <w:pPr>
        <w:pStyle w:val="Heading3"/>
      </w:pPr>
      <w:r>
        <w:t xml:space="preserve">3. Payment Schedule</w:t>
      </w:r>
    </w:p>
    <w:p>
      <w:pPr>
        <w:pStyle w:val="FirstParagraph"/>
      </w:pPr>
      <w:r>
        <w:t xml:space="preserve">This Quotation Estimate shall be settled according to the following schedule, all payments to be made in Russian Rubles (RUB) via bank transfer to the designated institutional account in Russia Moscow:</w:t>
      </w:r>
    </w:p>
    <w:p>
      <w:pPr>
        <w:numPr>
          <w:ilvl w:val="0"/>
          <w:numId w:val="1001"/>
        </w:numPr>
        <w:pStyle w:val="Compact"/>
      </w:pPr>
      <w:r>
        <w:rPr>
          <w:bCs/>
          <w:b/>
        </w:rPr>
        <w:t xml:space="preserve">Tranche 1 (30%):</w:t>
      </w:r>
      <w:r>
        <w:t xml:space="preserve"> </w:t>
      </w:r>
      <w:r>
        <w:t xml:space="preserve">1,599,480 RUB — Due upon contract signing and commencement of the University Lecturer appointment (1 September 2025).</w:t>
      </w:r>
    </w:p>
    <w:p>
      <w:pPr>
        <w:numPr>
          <w:ilvl w:val="0"/>
          <w:numId w:val="1001"/>
        </w:numPr>
        <w:pStyle w:val="Compact"/>
      </w:pPr>
      <w:r>
        <w:rPr>
          <w:bCs/>
          <w:b/>
        </w:rPr>
        <w:t xml:space="preserve">Tranche 2 (40%):</w:t>
      </w:r>
      <w:r>
        <w:t xml:space="preserve"> </w:t>
      </w:r>
      <w:r>
        <w:t xml:space="preserve">2,132,640 RUB — Due by 1 December 2025, covering the first semester of the academic year.</w:t>
      </w:r>
    </w:p>
    <w:p>
      <w:pPr>
        <w:numPr>
          <w:ilvl w:val="0"/>
          <w:numId w:val="1001"/>
        </w:numPr>
        <w:pStyle w:val="Compact"/>
      </w:pPr>
      <w:r>
        <w:rPr>
          <w:bCs/>
          <w:b/>
        </w:rPr>
        <w:t xml:space="preserve">Tranche 3 (30%):</w:t>
      </w:r>
      <w:r>
        <w:t xml:space="preserve"> </w:t>
      </w:r>
      <w:r>
        <w:t xml:space="preserve">1,599,480 RUB — Due by 1 March 2026, covering the second semester and concluding obligations.</w:t>
      </w:r>
    </w:p>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a period of ninety (90) calendar days from the date of issue. Beyond this period, all rates and amounts are subject to revision based on prevailing academic salary benchmarks in Russia Moscow.</w:t>
      </w:r>
    </w:p>
    <w:p>
      <w:pPr>
        <w:numPr>
          <w:ilvl w:val="0"/>
          <w:numId w:val="1002"/>
        </w:numPr>
        <w:pStyle w:val="Compact"/>
      </w:pPr>
      <w:r>
        <w:t xml:space="preserve">The University Lecturer shall be required to maintain a minimum teaching load of 360 contact hours per academic year as stipulated by the Ministry of Science and Higher Education of the Russian Federation.</w:t>
      </w:r>
    </w:p>
    <w:p>
      <w:pPr>
        <w:numPr>
          <w:ilvl w:val="0"/>
          <w:numId w:val="1002"/>
        </w:numPr>
        <w:pStyle w:val="Compact"/>
      </w:pPr>
      <w:r>
        <w:t xml:space="preserve">All academic deliverables, including lecture materials, examination papers, and research outputs, shall be produced in accordance with the quality assurance standards of the Moscow State Academic Institute of Higher Education.</w:t>
      </w:r>
    </w:p>
    <w:p>
      <w:pPr>
        <w:numPr>
          <w:ilvl w:val="0"/>
          <w:numId w:val="1002"/>
        </w:numPr>
        <w:pStyle w:val="Compact"/>
      </w:pPr>
      <w:r>
        <w:t xml:space="preserve">The University Lecturer is expected to participate in departmental meetings, curriculum review boards, and student advisory committees as scheduled by the Faculty Dean's office in Russia Moscow.</w:t>
      </w:r>
    </w:p>
    <w:p>
      <w:pPr>
        <w:numPr>
          <w:ilvl w:val="0"/>
          <w:numId w:val="1002"/>
        </w:numPr>
        <w:pStyle w:val="Compact"/>
      </w:pPr>
      <w:r>
        <w:t xml:space="preserve">Early termination of the University Lecturer contract prior to the completion of the 2025/2026 academic year shall require a minimum of sixty (60) days' written notice and may be subject to a pro-rata financial adjustment as determined by the institutional HR committee.</w:t>
      </w:r>
    </w:p>
    <w:p>
      <w:pPr>
        <w:numPr>
          <w:ilvl w:val="0"/>
          <w:numId w:val="1002"/>
        </w:numPr>
        <w:pStyle w:val="Compact"/>
      </w:pPr>
      <w:r>
        <w:t xml:space="preserve">All personal data processed under this Quotation Estimate shall be handled in compliance with Federal Law No. 152-FZ "On Personal Data" of the Russian Federation.</w:t>
      </w:r>
    </w:p>
    <w:p>
      <w:pPr>
        <w:numPr>
          <w:ilvl w:val="0"/>
          <w:numId w:val="1002"/>
        </w:numPr>
        <w:pStyle w:val="Compact"/>
      </w:pPr>
      <w:r>
        <w:t xml:space="preserve">Disputes arising from this Quotation Estimate shall be resolved through the internal arbitration panel of the Moscow State Academic Institute of Higher Education, with jurisdiction located in Russia Moscow.</w:t>
      </w:r>
    </w:p>
    <w:p>
      <w:pPr>
        <w:numPr>
          <w:ilvl w:val="0"/>
          <w:numId w:val="1002"/>
        </w:numPr>
        <w:pStyle w:val="Compact"/>
      </w:pPr>
      <w:r>
        <w:t xml:space="preserve">This Quotation Estimate does not constitute a binding employment contract. A formal employment agreement in accordance with the Labor Code of the Russian Federation shall be executed prior to the commencement of duties.</w:t>
      </w:r>
    </w:p>
    <w:bookmarkEnd w:id="25"/>
    <w:bookmarkStart w:id="26" w:name="acceptance-and-authorization"/>
    <w:p>
      <w:pPr>
        <w:pStyle w:val="Heading3"/>
      </w:pPr>
      <w:r>
        <w:t xml:space="preserve">5. Acceptance and Authorization</w:t>
      </w:r>
    </w:p>
    <w:p>
      <w:pPr>
        <w:pStyle w:val="FirstParagraph"/>
      </w:pPr>
      <w:r>
        <w:t xml:space="preserve">By signing below, the authorized representative of the Moscow State Academic Institute of Higher Education confirms acceptance of this Quotation Estimate for the University Lecturer position and authorizes the financial commitments outlined herein for the 2025/2026 academic year in Russia Moscow.</w:t>
      </w:r>
    </w:p>
    <w:p>
      <w:pPr>
        <w:pStyle w:val="BodyText"/>
      </w:pPr>
      <w:r>
        <w:rPr>
          <w:bCs/>
          <w:b/>
        </w:rPr>
        <w:t xml:space="preserve">For and on behalf of the Institution:</w:t>
      </w:r>
      <w:r>
        <w:br/>
      </w:r>
      <w:r>
        <w:br/>
      </w:r>
      <w:r>
        <w:t xml:space="preserve">Name: ______________________________</w:t>
      </w:r>
      <w:r>
        <w:br/>
      </w:r>
      <w:r>
        <w:t xml:space="preserve">Title: Dean, Faculty of Economics and International Trade</w:t>
      </w:r>
      <w:r>
        <w:br/>
      </w:r>
      <w:r>
        <w:t xml:space="preserve">Signature: ______________________________</w:t>
      </w:r>
      <w:r>
        <w:br/>
      </w:r>
      <w:r>
        <w:t xml:space="preserve">Date: ______________________________</w:t>
      </w:r>
      <w:r>
        <w:br/>
      </w:r>
      <w:r>
        <w:t xml:space="preserve">Institutional Seal:</w:t>
      </w:r>
    </w:p>
    <w:p>
      <w:pPr>
        <w:pStyle w:val="BodyText"/>
      </w:pPr>
      <w:r>
        <w:rPr>
          <w:bCs/>
          <w:b/>
        </w:rPr>
        <w:t xml:space="preserve">Prepared and Issued By:</w:t>
      </w:r>
      <w:r>
        <w:br/>
      </w:r>
      <w:r>
        <w:br/>
      </w:r>
      <w:r>
        <w:t xml:space="preserve">Name: Alexander D. Petrov</w:t>
      </w:r>
      <w:r>
        <w:br/>
      </w:r>
      <w:r>
        <w:t xml:space="preserve">Title: Head of Academic Recruitment Division</w:t>
      </w:r>
      <w:r>
        <w:br/>
      </w:r>
      <w:r>
        <w:t xml:space="preserve">Signature: ______________________________</w:t>
      </w:r>
      <w:r>
        <w:br/>
      </w:r>
      <w:r>
        <w:t xml:space="preserve">Date: 14 June 2025</w:t>
      </w:r>
      <w:r>
        <w:br/>
      </w:r>
      <w:r>
        <w:t xml:space="preserve">Location: Moscow, Russia</w:t>
      </w:r>
    </w:p>
    <w:p>
      <w:pPr>
        <w:pStyle w:val="BodyText"/>
      </w:pPr>
      <w:r>
        <w:t xml:space="preserve">Quotation Estimate No. QTE-RM-2025-04782 | University Lecturer Services | Russia Moscow | Moscow State Academic Institute of Higher Education</w:t>
      </w:r>
    </w:p>
    <w:p>
      <w:pPr>
        <w:pStyle w:val="BodyText"/>
      </w:pPr>
      <w:r>
        <w:t xml:space="preserve">This document is confidential and intended solely for the named recipient. Unauthorized reproduction or distribution is prohibited under applicable Russian Federation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Russia Moscow</dc:title>
  <dc:creator/>
  <dc:language>en</dc:language>
  <cp:keywords/>
  <dcterms:created xsi:type="dcterms:W3CDTF">2026-10-10T04:14:32Z</dcterms:created>
  <dcterms:modified xsi:type="dcterms:W3CDTF">2026-10-10T04:14:32Z</dcterms:modified>
</cp:coreProperties>
</file>

<file path=docProps/custom.xml><?xml version="1.0" encoding="utf-8"?>
<Properties xmlns="http://schemas.openxmlformats.org/officeDocument/2006/custom-properties" xmlns:vt="http://schemas.openxmlformats.org/officeDocument/2006/docPropsVTypes"/>
</file>