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Saudi Arabia Jeddah | Kingdom of Saudi Arabia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QE-2025-JED-0472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Academic Recruitment Division, Jeddah Office</w:t>
            </w:r>
          </w:p>
        </w:tc>
        <w:tc>
          <w:tcPr/>
          <w:p>
            <w:pPr>
              <w:pStyle w:val="Compact"/>
              <w:jc w:val="left"/>
            </w:pPr>
            <w:r>
              <w:t xml:space="preserve">Prepared For</w:t>
            </w:r>
          </w:p>
        </w:tc>
        <w:tc>
          <w:tcPr/>
          <w:p>
            <w:pPr>
              <w:pStyle w:val="Compact"/>
              <w:jc w:val="left"/>
            </w:pPr>
            <w:r>
              <w:t xml:space="preserve">University Administration, Jeddah, Saudi Arabia</w:t>
            </w:r>
          </w:p>
        </w:tc>
      </w:tr>
      <w:tr>
        <w:tc>
          <w:tcPr/>
          <w:p>
            <w:pPr>
              <w:pStyle w:val="Compact"/>
              <w:jc w:val="left"/>
            </w:pPr>
            <w:r>
              <w:t xml:space="preserve">Position Title</w:t>
            </w:r>
          </w:p>
        </w:tc>
        <w:tc>
          <w:tcPr/>
          <w:p>
            <w:pPr>
              <w:pStyle w:val="Compact"/>
              <w:jc w:val="left"/>
            </w:pPr>
            <w:r>
              <w:t xml:space="preserve">University Lecturer (Full-Time / Part-Time)</w:t>
            </w:r>
          </w:p>
        </w:tc>
        <w:tc>
          <w:tcPr/>
          <w:p>
            <w:pPr>
              <w:pStyle w:val="Compact"/>
              <w:jc w:val="left"/>
            </w:pPr>
            <w:r>
              <w:t xml:space="preserve">Academic Department</w:t>
            </w:r>
          </w:p>
        </w:tc>
        <w:tc>
          <w:tcPr/>
          <w:p>
            <w:pPr>
              <w:pStyle w:val="Compact"/>
              <w:jc w:val="left"/>
            </w:pPr>
            <w:r>
              <w:t xml:space="preserve">Faculty of Engineering / Business / Sciences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in accordance with the academic hiring standards and regulatory requirements of the Kingdom of Saudi Arabia. It provides a comprehensive financial and operational breakdown for the recruitment, onboarding, and annual engagement of a qualified</w:t>
      </w:r>
      <w:r>
        <w:t xml:space="preserve"> </w:t>
      </w:r>
      <w:r>
        <w:t xml:space="preserve">University Lecturer</w:t>
      </w:r>
      <w:r>
        <w:t xml:space="preserve"> </w:t>
      </w:r>
      <w:r>
        <w:t xml:space="preserve">to deliver academic instruction, conduct research supervision, and contribute to institutional development within the academic community of</w:t>
      </w:r>
      <w:r>
        <w:t xml:space="preserve"> </w:t>
      </w:r>
      <w:r>
        <w:t xml:space="preserve">Saudi Arabia Jeddah</w:t>
      </w:r>
      <w:r>
        <w:t xml:space="preserve">. This estimate covers all associated costs including compensation, benefits, housing, transportation, visa processing, and professional development allowances as mandated by the Saudi Ministry of Education and the Saudi Commission for Universities.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Frequency</w:t>
            </w:r>
          </w:p>
        </w:tc>
        <w:tc>
          <w:tcPr/>
          <w:p>
            <w:pPr>
              <w:pStyle w:val="Compact"/>
              <w:jc w:val="left"/>
            </w:pPr>
            <w:r>
              <w:t xml:space="preserve">Unit Cost (SAR)</w:t>
            </w:r>
          </w:p>
        </w:tc>
        <w:tc>
          <w:tcPr/>
          <w:p>
            <w:pPr>
              <w:pStyle w:val="Compact"/>
              <w:jc w:val="left"/>
            </w:pPr>
            <w:r>
              <w:t xml:space="preserve">Annual Total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Base Monthly Salary for University Lecturer</w:t>
            </w:r>
          </w:p>
        </w:tc>
        <w:tc>
          <w:tcPr/>
          <w:p>
            <w:pPr>
              <w:pStyle w:val="Compact"/>
              <w:jc w:val="left"/>
            </w:pPr>
            <w:r>
              <w:t xml:space="preserve">Monthly (12)</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Per Saudi academic pay scale</w:t>
            </w:r>
          </w:p>
        </w:tc>
      </w:tr>
      <w:tr>
        <w:tc>
          <w:tcPr/>
          <w:p>
            <w:pPr>
              <w:pStyle w:val="Compact"/>
              <w:jc w:val="left"/>
            </w:pPr>
            <w:r>
              <w:t xml:space="preserve">2</w:t>
            </w:r>
          </w:p>
        </w:tc>
        <w:tc>
          <w:tcPr/>
          <w:p>
            <w:pPr>
              <w:pStyle w:val="Compact"/>
              <w:jc w:val="left"/>
            </w:pPr>
            <w:r>
              <w:t xml:space="preserve">Housing Allowance (Jeddah Residential Zone)</w:t>
            </w:r>
          </w:p>
        </w:tc>
        <w:tc>
          <w:tcPr/>
          <w:p>
            <w:pPr>
              <w:pStyle w:val="Compact"/>
              <w:jc w:val="left"/>
            </w:pPr>
            <w:r>
              <w:t xml:space="preserve">Monthly (12)</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Includes utilities</w:t>
            </w:r>
          </w:p>
        </w:tc>
      </w:tr>
      <w:tr>
        <w:tc>
          <w:tcPr/>
          <w:p>
            <w:pPr>
              <w:pStyle w:val="Compact"/>
              <w:jc w:val="left"/>
            </w:pPr>
            <w:r>
              <w:t xml:space="preserve">3</w:t>
            </w:r>
          </w:p>
        </w:tc>
        <w:tc>
          <w:tcPr/>
          <w:p>
            <w:pPr>
              <w:pStyle w:val="Compact"/>
              <w:jc w:val="left"/>
            </w:pPr>
            <w:r>
              <w:t xml:space="preserve">Transportation &amp; Commute Allowance</w:t>
            </w:r>
          </w:p>
        </w:tc>
        <w:tc>
          <w:tcPr/>
          <w:p>
            <w:pPr>
              <w:pStyle w:val="Compact"/>
              <w:jc w:val="left"/>
            </w:pPr>
            <w:r>
              <w:t xml:space="preserve">Monthly (12)</w:t>
            </w:r>
          </w:p>
        </w:tc>
        <w:tc>
          <w:tcPr/>
          <w:p>
            <w:pPr>
              <w:pStyle w:val="Compact"/>
              <w:jc w:val="left"/>
            </w:pPr>
            <w:r>
              <w:t xml:space="preserve">3,000</w:t>
            </w:r>
          </w:p>
        </w:tc>
        <w:tc>
          <w:tcPr/>
          <w:p>
            <w:pPr>
              <w:pStyle w:val="Compact"/>
              <w:jc w:val="left"/>
            </w:pPr>
            <w:r>
              <w:t xml:space="preserve">36,000</w:t>
            </w:r>
          </w:p>
        </w:tc>
        <w:tc>
          <w:tcPr/>
          <w:p>
            <w:pPr>
              <w:pStyle w:val="Compact"/>
              <w:jc w:val="left"/>
            </w:pPr>
            <w:r>
              <w:t xml:space="preserve">Within Jeddah metro area</w:t>
            </w:r>
          </w:p>
        </w:tc>
      </w:tr>
      <w:tr>
        <w:tc>
          <w:tcPr/>
          <w:p>
            <w:pPr>
              <w:pStyle w:val="Compact"/>
              <w:jc w:val="left"/>
            </w:pPr>
            <w:r>
              <w:t xml:space="preserve">4</w:t>
            </w:r>
          </w:p>
        </w:tc>
        <w:tc>
          <w:tcPr/>
          <w:p>
            <w:pPr>
              <w:pStyle w:val="Compact"/>
              <w:jc w:val="left"/>
            </w:pPr>
            <w:r>
              <w:t xml:space="preserve">Annual Airfare (Home Country to Saudi Arabia Jeddah)</w:t>
            </w:r>
          </w:p>
        </w:tc>
        <w:tc>
          <w:tcPr/>
          <w:p>
            <w:pPr>
              <w:pStyle w:val="Compact"/>
              <w:jc w:val="left"/>
            </w:pPr>
            <w:r>
              <w:t xml:space="preserve">Annual (2 trips)</w:t>
            </w:r>
          </w:p>
        </w:tc>
        <w:tc>
          <w:tcPr/>
          <w:p>
            <w:pPr>
              <w:pStyle w:val="Compact"/>
              <w:jc w:val="left"/>
            </w:pPr>
            <w:r>
              <w:t xml:space="preserve">6,500</w:t>
            </w:r>
          </w:p>
        </w:tc>
        <w:tc>
          <w:tcPr/>
          <w:p>
            <w:pPr>
              <w:pStyle w:val="Compact"/>
              <w:jc w:val="left"/>
            </w:pPr>
            <w:r>
              <w:t xml:space="preserve">13,000</w:t>
            </w:r>
          </w:p>
        </w:tc>
        <w:tc>
          <w:tcPr/>
          <w:p>
            <w:pPr>
              <w:pStyle w:val="Compact"/>
              <w:jc w:val="left"/>
            </w:pPr>
            <w:r>
              <w:t xml:space="preserve">Economy class, family included</w:t>
            </w:r>
          </w:p>
        </w:tc>
      </w:tr>
      <w:tr>
        <w:tc>
          <w:tcPr/>
          <w:p>
            <w:pPr>
              <w:pStyle w:val="Compact"/>
              <w:jc w:val="left"/>
            </w:pPr>
            <w:r>
              <w:t xml:space="preserve">5</w:t>
            </w:r>
          </w:p>
        </w:tc>
        <w:tc>
          <w:tcPr/>
          <w:p>
            <w:pPr>
              <w:pStyle w:val="Compact"/>
              <w:jc w:val="left"/>
            </w:pPr>
            <w:r>
              <w:t xml:space="preserve">Medical Insurance (Comprehensive)</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Covers lecturer + dependents</w:t>
            </w:r>
          </w:p>
        </w:tc>
      </w:tr>
      <w:tr>
        <w:tc>
          <w:tcPr/>
          <w:p>
            <w:pPr>
              <w:pStyle w:val="Compact"/>
              <w:jc w:val="left"/>
            </w:pPr>
            <w:r>
              <w:t xml:space="preserve">6</w:t>
            </w:r>
          </w:p>
        </w:tc>
        <w:tc>
          <w:tcPr/>
          <w:p>
            <w:pPr>
              <w:pStyle w:val="Compact"/>
              <w:jc w:val="left"/>
            </w:pPr>
            <w:r>
              <w:t xml:space="preserve">Visa, Iqama &amp; Work Permit Processing</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Ministry of Human Resources</w:t>
            </w:r>
          </w:p>
        </w:tc>
      </w:tr>
      <w:tr>
        <w:tc>
          <w:tcPr/>
          <w:p>
            <w:pPr>
              <w:pStyle w:val="Compact"/>
              <w:jc w:val="left"/>
            </w:pPr>
            <w:r>
              <w:t xml:space="preserve">7</w:t>
            </w:r>
          </w:p>
        </w:tc>
        <w:tc>
          <w:tcPr/>
          <w:p>
            <w:pPr>
              <w:pStyle w:val="Compact"/>
              <w:jc w:val="left"/>
            </w:pPr>
            <w:r>
              <w:t xml:space="preserve">Professional Development &amp; Conference Allowance</w:t>
            </w:r>
          </w:p>
        </w:tc>
        <w:tc>
          <w:tcPr/>
          <w:p>
            <w:pPr>
              <w:pStyle w:val="Compact"/>
              <w:jc w:val="left"/>
            </w:pPr>
            <w:r>
              <w:t xml:space="preserve">Annual</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Academic conferences in KSA</w:t>
            </w:r>
          </w:p>
        </w:tc>
      </w:tr>
      <w:tr>
        <w:tc>
          <w:tcPr/>
          <w:p>
            <w:pPr>
              <w:pStyle w:val="Compact"/>
              <w:jc w:val="left"/>
            </w:pPr>
            <w:r>
              <w:t xml:space="preserve">8</w:t>
            </w:r>
          </w:p>
        </w:tc>
        <w:tc>
          <w:tcPr/>
          <w:p>
            <w:pPr>
              <w:pStyle w:val="Compact"/>
              <w:jc w:val="left"/>
            </w:pPr>
            <w:r>
              <w:t xml:space="preserve">Research &amp; Publication Grant</w:t>
            </w:r>
          </w:p>
        </w:tc>
        <w:tc>
          <w:tcPr/>
          <w:p>
            <w:pPr>
              <w:pStyle w:val="Compact"/>
              <w:jc w:val="left"/>
            </w:pPr>
            <w:r>
              <w:t xml:space="preserve">Annual</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Per university research policy</w:t>
            </w:r>
          </w:p>
        </w:tc>
      </w:tr>
      <w:tr>
        <w:tc>
          <w:tcPr/>
          <w:p>
            <w:pPr>
              <w:pStyle w:val="Compact"/>
              <w:jc w:val="left"/>
            </w:pPr>
            <w:r>
              <w:t xml:space="preserve">9</w:t>
            </w:r>
          </w:p>
        </w:tc>
        <w:tc>
          <w:tcPr/>
          <w:p>
            <w:pPr>
              <w:pStyle w:val="Compact"/>
              <w:jc w:val="left"/>
            </w:pPr>
            <w:r>
              <w:t xml:space="preserve">End-of-Service Gratuity Provision (Annual Accrual)</w:t>
            </w:r>
          </w:p>
        </w:tc>
        <w:tc>
          <w:tcPr/>
          <w:p>
            <w:pPr>
              <w:pStyle w:val="Compact"/>
              <w:jc w:val="left"/>
            </w:pPr>
            <w:r>
              <w:t xml:space="preserve">Annual</w:t>
            </w:r>
          </w:p>
        </w:tc>
        <w:tc>
          <w:tcPr/>
          <w:p>
            <w:pPr>
              <w:pStyle w:val="Compact"/>
              <w:jc w:val="left"/>
            </w:pPr>
            <w:r>
              <w:t xml:space="preserve">12,500</w:t>
            </w:r>
          </w:p>
        </w:tc>
        <w:tc>
          <w:tcPr/>
          <w:p>
            <w:pPr>
              <w:pStyle w:val="Compact"/>
              <w:jc w:val="left"/>
            </w:pPr>
            <w:r>
              <w:t xml:space="preserve">12,500</w:t>
            </w:r>
          </w:p>
        </w:tc>
        <w:tc>
          <w:tcPr/>
          <w:p>
            <w:pPr>
              <w:pStyle w:val="Compact"/>
              <w:jc w:val="left"/>
            </w:pPr>
            <w:r>
              <w:t xml:space="preserve">Per Saudi Labor Law</w:t>
            </w:r>
          </w:p>
        </w:tc>
      </w:tr>
      <w:tr>
        <w:tc>
          <w:tcPr/>
          <w:p>
            <w:pPr>
              <w:pStyle w:val="Compact"/>
              <w:jc w:val="left"/>
            </w:pPr>
            <w:r>
              <w:t xml:space="preserve">10</w:t>
            </w:r>
          </w:p>
        </w:tc>
        <w:tc>
          <w:tcPr/>
          <w:p>
            <w:pPr>
              <w:pStyle w:val="Compact"/>
              <w:jc w:val="left"/>
            </w:pPr>
            <w:r>
              <w:t xml:space="preserve">Onboarding, Orientation &amp; Administrative Setup</w:t>
            </w:r>
          </w:p>
        </w:tc>
        <w:tc>
          <w:tcPr/>
          <w:p>
            <w:pPr>
              <w:pStyle w:val="Compact"/>
              <w:jc w:val="left"/>
            </w:pPr>
            <w:r>
              <w:t xml:space="preserve">One-time</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Includes IT setup, lab access</w:t>
            </w:r>
          </w:p>
        </w:tc>
      </w:tr>
      <w:tr>
        <w:tc>
          <w:tcPr>
            <w:gridSpan w:val="4"/>
          </w:tcPr>
          <w:p>
            <w:pPr>
              <w:pStyle w:val="Compact"/>
              <w:jc w:val="left"/>
            </w:pPr>
            <w:r>
              <w:t xml:space="preserve">TOTAL ANNUAL ESTIMATED COST</w:t>
            </w:r>
          </w:p>
        </w:tc>
        <w:tc>
          <w:tcPr/>
          <w:p>
            <w:pPr>
              <w:pStyle w:val="Compact"/>
              <w:jc w:val="left"/>
            </w:pPr>
            <w:r>
              <w:t xml:space="preserve">SAR 539,500</w:t>
            </w:r>
          </w:p>
        </w:tc>
        <w:tc>
          <w:tcPr/>
          <w:p>
            <w:pPr>
              <w:pStyle w:val="Compact"/>
              <w:jc w:val="left"/>
            </w:pPr>
            <w:r>
              <w:t xml:space="preserve">Approx. USD 143,867</w:t>
            </w:r>
          </w:p>
        </w:tc>
      </w:tr>
    </w:tbl>
    <w:bookmarkEnd w:id="22"/>
    <w:bookmarkStart w:id="23" w:name="X53daa259dc2fd6e7b1ca4a507ad5c91c042ab85"/>
    <w:p>
      <w:pPr>
        <w:pStyle w:val="Heading2"/>
      </w:pPr>
      <w:r>
        <w:t xml:space="preserve">3. Scope of Responsibilities for the University Lecturer</w:t>
      </w:r>
    </w:p>
    <w:p>
      <w:pPr>
        <w:pStyle w:val="FirstParagraph"/>
      </w:pPr>
      <w:r>
        <w:t xml:space="preserve">The</w:t>
      </w:r>
      <w:r>
        <w:t xml:space="preserve"> </w:t>
      </w:r>
      <w:r>
        <w:t xml:space="preserve">University Lecturer</w:t>
      </w:r>
      <w:r>
        <w:t xml:space="preserve"> </w:t>
      </w:r>
      <w:r>
        <w:t xml:space="preserve">engaged under this</w:t>
      </w:r>
      <w:r>
        <w:t xml:space="preserve"> </w:t>
      </w:r>
      <w:r>
        <w:t xml:space="preserve">Quotation Estimate</w:t>
      </w:r>
      <w:r>
        <w:t xml:space="preserve"> </w:t>
      </w:r>
      <w:r>
        <w:t xml:space="preserve">shall be responsible for the following duties within the academic institution located in</w:t>
      </w:r>
      <w:r>
        <w:t xml:space="preserve"> </w:t>
      </w:r>
      <w:r>
        <w:t xml:space="preserve">Saudi Arabia Jeddah</w:t>
      </w:r>
      <w:r>
        <w:t xml:space="preserve">:</w:t>
      </w:r>
    </w:p>
    <w:p>
      <w:pPr>
        <w:numPr>
          <w:ilvl w:val="0"/>
          <w:numId w:val="1001"/>
        </w:numPr>
        <w:pStyle w:val="Compact"/>
      </w:pPr>
      <w:r>
        <w:t xml:space="preserve">Delivering a minimum of 18 contact hours per week across undergraduate and/or graduate courses in the assigned department.</w:t>
      </w:r>
    </w:p>
    <w:p>
      <w:pPr>
        <w:numPr>
          <w:ilvl w:val="0"/>
          <w:numId w:val="1001"/>
        </w:numPr>
        <w:pStyle w:val="Compact"/>
      </w:pPr>
      <w:r>
        <w:t xml:space="preserve">Supervising a maximum of five (5) Master's or Doctoral research students per academic year, ensuring compliance with Saudi academic research ethics.</w:t>
      </w:r>
    </w:p>
    <w:p>
      <w:pPr>
        <w:numPr>
          <w:ilvl w:val="0"/>
          <w:numId w:val="1001"/>
        </w:numPr>
        <w:pStyle w:val="Compact"/>
      </w:pPr>
      <w:r>
        <w:t xml:space="preserve">Participating in curriculum development, syllabus design, and continuous quality improvement initiatives aligned with the Saudi Vision 2030 higher education goals.</w:t>
      </w:r>
    </w:p>
    <w:p>
      <w:pPr>
        <w:numPr>
          <w:ilvl w:val="0"/>
          <w:numId w:val="1001"/>
        </w:numPr>
        <w:pStyle w:val="Compact"/>
      </w:pPr>
      <w:r>
        <w:t xml:space="preserve">Contributing to at least two (2) peer-reviewed publications or conference presentations annually within the Kingdom of Saudi Arabia or internationally.</w:t>
      </w:r>
    </w:p>
    <w:p>
      <w:pPr>
        <w:numPr>
          <w:ilvl w:val="0"/>
          <w:numId w:val="1001"/>
        </w:numPr>
        <w:pStyle w:val="Compact"/>
      </w:pPr>
      <w:r>
        <w:t xml:space="preserve">Attending faculty meetings, departmental reviews, and institutional accreditation processes as required by the Saudi Commission for Universities.</w:t>
      </w:r>
    </w:p>
    <w:p>
      <w:pPr>
        <w:numPr>
          <w:ilvl w:val="0"/>
          <w:numId w:val="1001"/>
        </w:numPr>
        <w:pStyle w:val="Compact"/>
      </w:pPr>
      <w:r>
        <w:t xml:space="preserve">Mentoring junior academic staff and supporting the professional growth of the academic community in Jeddah.</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requires a revised estimate reflecting current market rates in</w:t>
      </w:r>
      <w:r>
        <w:t xml:space="preserve"> </w:t>
      </w:r>
      <w:r>
        <w:t xml:space="preserve">Saudi Arabia Jeddah</w:t>
      </w:r>
      <w:r>
        <w:t xml:space="preserve">.</w:t>
      </w:r>
    </w:p>
    <w:p>
      <w:pPr>
        <w:numPr>
          <w:ilvl w:val="0"/>
          <w:numId w:val="1002"/>
        </w:numPr>
        <w:pStyle w:val="Compact"/>
      </w:pPr>
      <w:r>
        <w:t xml:space="preserve">All costs are quoted in Saudi Riyal (SAR) and are inclusive of applicable Value Added Tax (VAT) at the rate of 15% as per Saudi tax regulations, unless otherwise stated.</w:t>
      </w:r>
    </w:p>
    <w:p>
      <w:pPr>
        <w:numPr>
          <w:ilvl w:val="0"/>
          <w:numId w:val="1002"/>
        </w:numPr>
        <w:pStyle w:val="Compact"/>
      </w:pPr>
      <w:r>
        <w:t xml:space="preserve">The</w:t>
      </w:r>
      <w:r>
        <w:t xml:space="preserve"> </w:t>
      </w:r>
      <w:r>
        <w:t xml:space="preserve">University Lecturer</w:t>
      </w:r>
      <w:r>
        <w:t xml:space="preserve"> </w:t>
      </w:r>
      <w:r>
        <w:t xml:space="preserve">must hold a minimum of a Master's degree (for Assistant Lecturer) or a Doctorate (for Senior Lecturer/Associate Professor) from an accredited institution recognized by the Saudi Ministry of Education.</w:t>
      </w:r>
    </w:p>
    <w:p>
      <w:pPr>
        <w:numPr>
          <w:ilvl w:val="0"/>
          <w:numId w:val="1002"/>
        </w:numPr>
        <w:pStyle w:val="Compact"/>
      </w:pPr>
      <w:r>
        <w:t xml:space="preserve">Payment shall be processed on a monthly basis via bank transfer to the lecturer's designated account within the Kingdom of Saudi Arabia, no later than the 5th business day of each month.</w:t>
      </w:r>
    </w:p>
    <w:p>
      <w:pPr>
        <w:numPr>
          <w:ilvl w:val="0"/>
          <w:numId w:val="1002"/>
        </w:numPr>
        <w:pStyle w:val="Compact"/>
      </w:pPr>
      <w:r>
        <w:t xml:space="preserve">The contractual term is for one (1) academic year (September to August), renewable upon mutual agreement and satisfactory performance evaluation.</w:t>
      </w:r>
    </w:p>
    <w:p>
      <w:pPr>
        <w:numPr>
          <w:ilvl w:val="0"/>
          <w:numId w:val="1002"/>
        </w:numPr>
        <w:pStyle w:val="Compact"/>
      </w:pPr>
      <w:r>
        <w:t xml:space="preserve">Termination by either party requires a written notice period of sixty (60) days, in compliance with Saudi Labor Law and the university's internal HR policies.</w:t>
      </w:r>
    </w:p>
    <w:p>
      <w:pPr>
        <w:numPr>
          <w:ilvl w:val="0"/>
          <w:numId w:val="1002"/>
        </w:numPr>
        <w:pStyle w:val="Compact"/>
      </w:pPr>
      <w:r>
        <w:t xml:space="preserve">All housing, transportation, and visa arrangements are contingent upon the lecturer's successful completion of the Saudi government medical examination and security clearance.</w:t>
      </w:r>
    </w:p>
    <w:p>
      <w:pPr>
        <w:numPr>
          <w:ilvl w:val="0"/>
          <w:numId w:val="1002"/>
        </w:numPr>
        <w:pStyle w:val="Compact"/>
      </w:pPr>
      <w:r>
        <w:t xml:space="preserve">This estimate does not include costs for temporary housing during the initial visa processing period (estimated at 4–6 weeks), which shall be borne by the university at an additional rate of SAR 4,000 per month.</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and financial figures outlined in this</w:t>
      </w:r>
      <w:r>
        <w:t xml:space="preserve"> </w:t>
      </w:r>
      <w:r>
        <w:t xml:space="preserve">Quotation Estimate</w:t>
      </w:r>
      <w:r>
        <w:t xml:space="preserve"> </w:t>
      </w:r>
      <w:r>
        <w:t xml:space="preserve">for the engagement of a</w:t>
      </w:r>
      <w:r>
        <w:t xml:space="preserve"> </w:t>
      </w:r>
      <w:r>
        <w:t xml:space="preserve">University Lecturer</w:t>
      </w:r>
      <w:r>
        <w:t xml:space="preserve"> </w:t>
      </w:r>
      <w:r>
        <w:t xml:space="preserve">in</w:t>
      </w:r>
      <w:r>
        <w:t xml:space="preserve"> </w:t>
      </w:r>
      <w:r>
        <w:t xml:space="preserve">Saudi Arabia Jeddah</w:t>
      </w:r>
      <w:r>
        <w:t xml:space="preserve">. This document serves as the foundational financial reference for the subsequent formal employment contract to be executed in accordance with Saudi labor and academic regulations.</w:t>
      </w:r>
    </w:p>
    <w:p>
      <w:pPr>
        <w:pStyle w:val="BodyText"/>
      </w:pPr>
      <w:r>
        <w:rPr>
          <w:bCs/>
          <w:b/>
        </w:rPr>
        <w:t xml:space="preserve">For the University / Client</w:t>
      </w:r>
    </w:p>
    <w:p>
      <w:pPr>
        <w:pStyle w:val="BodyText"/>
      </w:pPr>
      <w:r>
        <w:t xml:space="preserve">Name &amp; Title</w:t>
      </w:r>
      <w:r>
        <w:br/>
      </w:r>
      <w:r>
        <w:t xml:space="preserve">Signature &amp; Date</w:t>
      </w:r>
    </w:p>
    <w:p>
      <w:pPr>
        <w:pStyle w:val="BodyText"/>
      </w:pPr>
      <w:r>
        <w:rPr>
          <w:bCs/>
          <w:b/>
        </w:rPr>
        <w:t xml:space="preserve">For the Academic Recruitment Agency</w:t>
      </w:r>
    </w:p>
    <w:p>
      <w:pPr>
        <w:pStyle w:val="BodyText"/>
      </w:pPr>
      <w:r>
        <w:t xml:space="preserve">Name &amp; Title</w:t>
      </w:r>
      <w:r>
        <w:br/>
      </w:r>
      <w:r>
        <w:t xml:space="preserve">Signature &amp; Date</w:t>
      </w:r>
    </w:p>
    <w:p>
      <w:pPr>
        <w:pStyle w:val="BodyText"/>
      </w:pPr>
      <w:r>
        <w:rPr>
          <w:bCs/>
          <w:b/>
        </w:rPr>
        <w:t xml:space="preserve">Quotation Estimate No. QE-2025-JED-0472</w:t>
      </w:r>
      <w:r>
        <w:t xml:space="preserve"> </w:t>
      </w:r>
      <w:r>
        <w:t xml:space="preserve">| University Lecturer Engagement | Saudi Arabia Jeddah</w:t>
      </w:r>
    </w:p>
    <w:p>
      <w:pPr>
        <w:pStyle w:val="BodyText"/>
      </w:pPr>
      <w:r>
        <w:t xml:space="preserve">This document is confidential and intended solely for the named recipient. Unauthorized reproduction or distribution is prohibited under Saudi intellectual property law.</w:t>
      </w:r>
    </w:p>
    <w:p>
      <w:pPr>
        <w:pStyle w:val="BodyText"/>
      </w:pPr>
      <w:r>
        <w:t xml:space="preserve">© 2025 Academic Recruitment Division — Jeddah, Kingdom of Saudi Arabia.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Saudi Arabia Jeddah</dc:title>
  <dc:creator/>
  <dc:language>en</dc:language>
  <cp:keywords/>
  <dcterms:created xsi:type="dcterms:W3CDTF">2026-10-10T07:02:20Z</dcterms:created>
  <dcterms:modified xsi:type="dcterms:W3CDTF">2026-10-10T07:02:20Z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