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Thailand Bangkok | Academic Year 2025–2026</w:t>
      </w:r>
    </w:p>
    <w:bookmarkEnd w:id="20"/>
    <w:p>
      <w:pPr>
        <w:pStyle w:val="BodyText"/>
      </w:pPr>
      <w:r>
        <w:rPr>
          <w:bCs/>
          <w:b/>
        </w:rPr>
        <w:t xml:space="preserve">Quotation No.:</w:t>
      </w:r>
      <w:r>
        <w:t xml:space="preserve"> </w:t>
      </w:r>
      <w:r>
        <w:t xml:space="preserve">QTE-THB-2025-0487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Dr. Somchai Rattanakul</w:t>
      </w:r>
      <w:r>
        <w:br/>
      </w:r>
      <w:r>
        <w:rPr>
          <w:bCs/>
          <w:b/>
        </w:rPr>
        <w:t xml:space="preserve">Position:</w:t>
      </w:r>
      <w:r>
        <w:t xml:space="preserve"> </w:t>
      </w:r>
      <w:r>
        <w:t xml:space="preserve">Head of Academic Recruitment</w:t>
      </w:r>
      <w:r>
        <w:br/>
      </w:r>
      <w:r>
        <w:rPr>
          <w:bCs/>
          <w:b/>
        </w:rPr>
        <w:t xml:space="preserve">Reference:</w:t>
      </w:r>
      <w:r>
        <w:t xml:space="preserve"> </w:t>
      </w:r>
      <w:r>
        <w:t xml:space="preserve">UL-THB-2025-0487</w:t>
      </w:r>
    </w:p>
    <w:p>
      <w:pPr>
        <w:pStyle w:val="BodyText"/>
      </w:pPr>
      <w:r>
        <w:t xml:space="preserve">1. Parties Involved</w:t>
      </w:r>
    </w:p>
    <w:bookmarkStart w:id="21" w:name="service-provider-quotation-issuer"/>
    <w:p>
      <w:pPr>
        <w:pStyle w:val="Heading3"/>
      </w:pPr>
      <w:r>
        <w:t xml:space="preserve">Service Provider (Quotation Issuer)</w:t>
      </w:r>
    </w:p>
    <w:p>
      <w:pPr>
        <w:pStyle w:val="FirstParagraph"/>
      </w:pPr>
      <w:r>
        <w:rPr>
          <w:bCs/>
          <w:b/>
        </w:rPr>
        <w:t xml:space="preserve">Chulalongkorn Academic Services Co., Ltd.</w:t>
      </w:r>
      <w:r>
        <w:br/>
      </w:r>
      <w:r>
        <w:t xml:space="preserve">1031 Phayathai Road, Pathum Wan</w:t>
      </w:r>
      <w:r>
        <w:br/>
      </w:r>
      <w:r>
        <w:t xml:space="preserve">Bangkok 10330, Thailand</w:t>
      </w:r>
      <w:r>
        <w:br/>
      </w:r>
      <w:r>
        <w:t xml:space="preserve">Tax ID: 0105556789012</w:t>
      </w:r>
      <w:r>
        <w:br/>
      </w:r>
      <w:r>
        <w:t xml:space="preserve">Contact: procurement@chas.co.th</w:t>
      </w:r>
      <w:r>
        <w:br/>
      </w:r>
      <w:r>
        <w:t xml:space="preserve">Tel: +66 2 218 0000</w:t>
      </w:r>
    </w:p>
    <w:bookmarkEnd w:id="21"/>
    <w:bookmarkStart w:id="22" w:name="client-quotation-recipient"/>
    <w:p>
      <w:pPr>
        <w:pStyle w:val="Heading3"/>
      </w:pPr>
      <w:r>
        <w:t xml:space="preserve">Client (Quotation Recipient)</w:t>
      </w:r>
    </w:p>
    <w:p>
      <w:pPr>
        <w:pStyle w:val="FirstParagraph"/>
      </w:pPr>
      <w:r>
        <w:rPr>
          <w:bCs/>
          <w:b/>
        </w:rPr>
        <w:t xml:space="preserve">Thammasat University — Faculty of Engineering</w:t>
      </w:r>
      <w:r>
        <w:br/>
      </w:r>
      <w:r>
        <w:t xml:space="preserve">999 Thong Lor Road, Khlong Toei</w:t>
      </w:r>
      <w:r>
        <w:br/>
      </w:r>
      <w:r>
        <w:t xml:space="preserve">Bangkok 10110, Thailand</w:t>
      </w:r>
      <w:r>
        <w:br/>
      </w:r>
      <w:r>
        <w:t xml:space="preserve">Contact: dean.eng@tu.ac.th</w:t>
      </w:r>
      <w:r>
        <w:br/>
      </w:r>
      <w:r>
        <w:t xml:space="preserve">Tel: +66 2 564 4444</w:t>
      </w:r>
      <w:r>
        <w:br/>
      </w:r>
      <w:r>
        <w:t xml:space="preserve">Attn: Assoc. Prof. Niran Chaiyasit</w:t>
      </w:r>
    </w:p>
    <w:bookmarkEnd w:id="22"/>
    <w:p>
      <w:pPr>
        <w:pStyle w:val="BodyText"/>
      </w:pPr>
      <w:r>
        <w:t xml:space="preserve">2. Purpose and Scope of This Quotation Estimate</w:t>
      </w:r>
    </w:p>
    <w:p>
      <w:pPr>
        <w:pStyle w:val="BodyText"/>
      </w:pPr>
      <w:r>
        <w:t xml:space="preserve">This</w:t>
      </w:r>
      <w:r>
        <w:t xml:space="preserve"> </w:t>
      </w:r>
      <w:r>
        <w:t xml:space="preserve">Quotation Estimate</w:t>
      </w:r>
      <w:r>
        <w:t xml:space="preserve"> </w:t>
      </w:r>
      <w:r>
        <w:t xml:space="preserve">is formally issued to provide a comprehensive financial breakdown for the recruitment, engagement, and ongoing professional support of a</w:t>
      </w:r>
      <w:r>
        <w:t xml:space="preserve"> </w:t>
      </w:r>
      <w:r>
        <w:t xml:space="preserve">University Lecturer</w:t>
      </w:r>
      <w:r>
        <w:t xml:space="preserve"> </w:t>
      </w:r>
      <w:r>
        <w:t xml:space="preserve">to be appointed at a recognized higher education institution in</w:t>
      </w:r>
      <w:r>
        <w:t xml:space="preserve"> </w:t>
      </w:r>
      <w:r>
        <w:t xml:space="preserve">Thailand Bangkok</w:t>
      </w:r>
      <w:r>
        <w:t xml:space="preserve">. The scope encompasses all costs associated with the academic appointment, including compensation, benefits, relocation, professional development, and administrative support for a full academic year (September 2025 through August 2026).</w:t>
      </w:r>
    </w:p>
    <w:p>
      <w:pPr>
        <w:pStyle w:val="BodyText"/>
      </w:pPr>
      <w:r>
        <w:t xml:space="preserve">The</w:t>
      </w:r>
      <w:r>
        <w:t xml:space="preserve"> </w:t>
      </w:r>
      <w:r>
        <w:t xml:space="preserve">University Lecturer</w:t>
      </w:r>
      <w:r>
        <w:t xml:space="preserve"> </w:t>
      </w:r>
      <w:r>
        <w:t xml:space="preserve">position is for the Department of Mechanical Engineering, requiring a candidate with a minimum of a Doctoral degree (Ph.D.) in Mechanical Engineering or a closely related discipline, a minimum of five (5) years of post-doctoral teaching or research experience, and demonstrated proficiency in both English and Thai academic communication. The lecturer will be responsible for delivering undergraduate and graduate-level courses, supervising thesis students, conducting original research, and contributing to the university's international accreditation efforts.</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(THB)</w:t>
            </w:r>
          </w:p>
        </w:tc>
        <w:tc>
          <w:tcPr/>
          <w:p>
            <w:pPr>
              <w:pStyle w:val="Compact"/>
              <w:jc w:val="left"/>
            </w:pPr>
            <w:r>
              <w:t xml:space="preserve">Total (THB)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base salary for University Lecturer (Ph.D. level, full-time)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Academic allowance (research &amp; publication incentive)</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Relocation and settling-in allowance (one-time)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Annual housing subsidy (Bangkok metropolitan area)</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Health insurance (comprehensive, including family coverage)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Annual professional development &amp; conference budget</w:t>
            </w:r>
          </w:p>
        </w:tc>
        <w:tc>
          <w:tcPr/>
          <w:p>
            <w:pPr>
              <w:pStyle w:val="Compact"/>
              <w:jc w:val="left"/>
            </w:pPr>
            <w:r>
              <w:t xml:space="preserve">1 year</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Research grant seed funding (first-year laboratory setup)</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Work permit, visa processing &amp; immigration sponsorship (Thailand)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One-time</w:t>
            </w:r>
          </w:p>
        </w:tc>
      </w:tr>
      <w:tr>
        <w:tc>
          <w:tcPr/>
          <w:p>
            <w:pPr>
              <w:pStyle w:val="Compact"/>
              <w:jc w:val="left"/>
            </w:pPr>
            <w:r>
              <w:t xml:space="preserve">9</w:t>
            </w:r>
          </w:p>
        </w:tc>
        <w:tc>
          <w:tcPr/>
          <w:p>
            <w:pPr>
              <w:pStyle w:val="Compact"/>
              <w:jc w:val="left"/>
            </w:pPr>
            <w:r>
              <w:t xml:space="preserve">Annual performance bonus (subject to KPI evaluation)</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c>
          <w:tcPr/>
          <w:p>
            <w:pPr>
              <w:pStyle w:val="Compact"/>
              <w:jc w:val="left"/>
            </w:pPr>
            <w:r>
              <w:t xml:space="preserve">Annual</w:t>
            </w:r>
          </w:p>
        </w:tc>
      </w:tr>
      <w:tr>
        <w:tc>
          <w:tcPr/>
          <w:p>
            <w:pPr>
              <w:pStyle w:val="Compact"/>
              <w:jc w:val="left"/>
            </w:pPr>
            <w:r>
              <w:t xml:space="preserve">10</w:t>
            </w:r>
          </w:p>
        </w:tc>
        <w:tc>
          <w:tcPr/>
          <w:p>
            <w:pPr>
              <w:pStyle w:val="Compact"/>
              <w:jc w:val="left"/>
            </w:pPr>
            <w:r>
              <w:t xml:space="preserve">Administrative &amp; recruitment service fee (10% of total)</w:t>
            </w:r>
          </w:p>
        </w:tc>
        <w:tc>
          <w:tcPr/>
          <w:p>
            <w:pPr>
              <w:pStyle w:val="Compact"/>
              <w:jc w:val="left"/>
            </w:pPr>
            <w:r>
              <w:t xml:space="preserve">1</w:t>
            </w:r>
          </w:p>
        </w:tc>
        <w:tc>
          <w:tcPr/>
          <w:p>
            <w:pPr>
              <w:pStyle w:val="Compact"/>
              <w:jc w:val="left"/>
            </w:pPr>
            <w:r>
              <w:t xml:space="preserve">—</w:t>
            </w:r>
          </w:p>
        </w:tc>
        <w:tc>
          <w:tcPr/>
          <w:p>
            <w:pPr>
              <w:pStyle w:val="Compact"/>
              <w:jc w:val="left"/>
            </w:pPr>
            <w:r>
              <w:t xml:space="preserve">422,100</w:t>
            </w:r>
          </w:p>
        </w:tc>
        <w:tc>
          <w:tcPr/>
          <w:p>
            <w:pPr>
              <w:pStyle w:val="Compact"/>
              <w:jc w:val="left"/>
            </w:pPr>
            <w:r>
              <w:t xml:space="preserve">One-time</w:t>
            </w:r>
          </w:p>
        </w:tc>
      </w:tr>
      <w:tr>
        <w:tc>
          <w:tcPr>
            <w:gridSpan w:val="4"/>
          </w:tcPr>
          <w:p>
            <w:pPr>
              <w:pStyle w:val="Compact"/>
              <w:jc w:val="left"/>
            </w:pPr>
            <w:r>
              <w:rPr>
                <w:bCs/>
                <w:b/>
              </w:rPr>
              <w:t xml:space="preserve">GRAND TOTAL (THB)</w:t>
            </w:r>
          </w:p>
        </w:tc>
        <w:tc>
          <w:tcPr/>
          <w:p>
            <w:pPr>
              <w:pStyle w:val="Compact"/>
              <w:jc w:val="left"/>
            </w:pPr>
            <w:r>
              <w:rPr>
                <w:bCs/>
                <w:b/>
              </w:rPr>
              <w:t xml:space="preserve">4,843,100</w:t>
            </w:r>
          </w:p>
        </w:tc>
        <w:tc>
          <w:tcPr/>
          <w:p>
            <w:pPr>
              <w:pStyle w:val="Compact"/>
            </w:pPr>
          </w:p>
        </w:tc>
      </w:tr>
      <w:tr>
        <w:tc>
          <w:tcPr>
            <w:gridSpan w:val="4"/>
          </w:tcPr>
          <w:p>
            <w:pPr>
              <w:pStyle w:val="Compact"/>
              <w:jc w:val="left"/>
            </w:pPr>
            <w:r>
              <w:rPr>
                <w:bCs/>
                <w:b/>
              </w:rPr>
              <w:t xml:space="preserve">GRAND TOTAL (USD, approx. at 36.5 THB/USD)</w:t>
            </w:r>
          </w:p>
        </w:tc>
        <w:tc>
          <w:tcPr/>
          <w:p>
            <w:pPr>
              <w:pStyle w:val="Compact"/>
              <w:jc w:val="left"/>
            </w:pPr>
            <w:r>
              <w:rPr>
                <w:bCs/>
                <w:b/>
              </w:rPr>
              <w:t xml:space="preserve">$132,688</w:t>
            </w:r>
          </w:p>
        </w:tc>
        <w:tc>
          <w:tcPr/>
          <w:p>
            <w:pPr>
              <w:pStyle w:val="Compact"/>
            </w:pPr>
          </w:p>
        </w:tc>
      </w:tr>
    </w:tbl>
    <w:p>
      <w:pPr>
        <w:pStyle w:val="BodyText"/>
      </w:pPr>
      <w:r>
        <w:rPr>
          <w:bCs/>
          <w:b/>
        </w:rPr>
        <w:t xml:space="preserve">Note:</w:t>
      </w:r>
      <w:r>
        <w:t xml:space="preserve"> </w:t>
      </w:r>
      <w:r>
        <w:t xml:space="preserve">All monetary values are quoted in Thai Baht (THB) unless otherwise stated. Exchange rate conversions are provided for reference only and are not binding. This Quotation Estimate does not include Thai personal income tax, which is the responsibility of the University Lecturer as per Thai Revenue Code.</w:t>
      </w:r>
    </w:p>
    <w:p>
      <w:pPr>
        <w:pStyle w:val="BodyText"/>
      </w:pPr>
      <w:r>
        <w:t xml:space="preserve">4. Terms and Conditions</w:t>
      </w:r>
    </w:p>
    <w:p>
      <w:pPr>
        <w:numPr>
          <w:ilvl w:val="0"/>
          <w:numId w:val="1001"/>
        </w:numPr>
        <w:pStyle w:val="Compact"/>
      </w:pPr>
      <w:r>
        <w:t xml:space="preserve">This Quotation Estimate is valid for a period of ninety (90) days from the date of issue. Beyond this period, all rates and conditions are subject to revision without prior notice.</w:t>
      </w:r>
    </w:p>
    <w:p>
      <w:pPr>
        <w:numPr>
          <w:ilvl w:val="0"/>
          <w:numId w:val="1001"/>
        </w:numPr>
        <w:pStyle w:val="Compact"/>
      </w:pPr>
      <w:r>
        <w:t xml:space="preserve">The University Lecturer engagement is for a fixed term of one (1) academic year, renewable upon mutual written agreement and satisfactory performance review conducted in July of each year.</w:t>
      </w:r>
    </w:p>
    <w:p>
      <w:pPr>
        <w:numPr>
          <w:ilvl w:val="0"/>
          <w:numId w:val="1001"/>
        </w:numPr>
        <w:pStyle w:val="Compact"/>
      </w:pPr>
      <w:r>
        <w:t xml:space="preserve">Payment terms: 50% of the total annual compensation shall be disbursed in two equal installments (January and July), while the remaining 50% shall be paid monthly in arrears. The relocation and research seed funding shall be released within thirty (30) days of the lecturer's official start date in Bangkok.</w:t>
      </w:r>
    </w:p>
    <w:p>
      <w:pPr>
        <w:numPr>
          <w:ilvl w:val="0"/>
          <w:numId w:val="1001"/>
        </w:numPr>
        <w:pStyle w:val="Compact"/>
      </w:pPr>
      <w:r>
        <w:t xml:space="preserve">The University Lecturer must comply with all Thai labor laws, immigration regulations, and the specific academic policies of the host institution in Thailand Bangkok. The service provider shall assist with all necessary documentation for work permits and non-immigrant B visas.</w:t>
      </w:r>
    </w:p>
    <w:p>
      <w:pPr>
        <w:numPr>
          <w:ilvl w:val="0"/>
          <w:numId w:val="1001"/>
        </w:numPr>
        <w:pStyle w:val="Compact"/>
      </w:pPr>
      <w:r>
        <w:t xml:space="preserve">Any changes to the scope of work, additional teaching load beyond the standard 12 contact hours per week, or extended research obligations must be documented in a written amendment to this Quotation Estimate before implementation.</w:t>
      </w:r>
    </w:p>
    <w:p>
      <w:pPr>
        <w:numPr>
          <w:ilvl w:val="0"/>
          <w:numId w:val="1001"/>
        </w:numPr>
        <w:pStyle w:val="Compact"/>
      </w:pPr>
      <w:r>
        <w:t xml:space="preserve">Confidentiality: All terms, compensation details, and personal data contained in this document are strictly confidential and shall not be disclosed to third parties without written consent from both parties.</w:t>
      </w:r>
    </w:p>
    <w:p>
      <w:pPr>
        <w:numPr>
          <w:ilvl w:val="0"/>
          <w:numId w:val="1001"/>
        </w:numPr>
        <w:pStyle w:val="Compact"/>
      </w:pPr>
      <w:r>
        <w:t xml:space="preserve">Dispute resolution: Any disputes arising from this Quotation Estimate shall be resolved through mediation under the rules of the Bangkok International Arbitration Centre (BIAC) in accordance with Thai law.</w:t>
      </w:r>
    </w:p>
    <w:p>
      <w:pPr>
        <w:numPr>
          <w:ilvl w:val="0"/>
          <w:numId w:val="1001"/>
        </w:numPr>
        <w:pStyle w:val="Compact"/>
      </w:pPr>
      <w:r>
        <w:t xml:space="preserve">This Quotation Estimate does not constitute a binding employment contract. A formal employment agreement, compliant with the Thai Labour Protection Act B.E. 2541 (1998), shall be executed separately upon acceptance.</w:t>
      </w:r>
    </w:p>
    <w:p>
      <w:pPr>
        <w:pStyle w:val="FirstParagraph"/>
      </w:pPr>
      <w:r>
        <w:t xml:space="preserve">5. Acceptance and Authorization</w:t>
      </w:r>
    </w:p>
    <w:p>
      <w:pPr>
        <w:pStyle w:val="BodyText"/>
      </w:pPr>
      <w:r>
        <w:rPr>
          <w:bCs/>
          <w:b/>
        </w:rPr>
        <w:t xml:space="preserve">For and on behalf of the Service Provider</w:t>
      </w:r>
    </w:p>
    <w:p>
      <w:pPr>
        <w:pStyle w:val="BodyText"/>
      </w:pPr>
      <w:r>
        <w:t xml:space="preserve">Chulalongkorn Academic Services Co., Ltd.</w:t>
      </w:r>
    </w:p>
    <w:p>
      <w:pPr>
        <w:pStyle w:val="BodyText"/>
      </w:pPr>
      <w:r>
        <w:t xml:space="preserve">Name: Dr. Somchai Rattanakul</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Thammasat University — Faculty of Engineering</w:t>
      </w:r>
    </w:p>
    <w:p>
      <w:pPr>
        <w:pStyle w:val="BodyText"/>
      </w:pPr>
      <w:r>
        <w:t xml:space="preserve">Name: Assoc. Prof. Niran Chaiyasit</w:t>
      </w:r>
      <w:r>
        <w:br/>
      </w:r>
      <w:r>
        <w:t xml:space="preserve">Signature: _________________________</w:t>
      </w:r>
      <w:r>
        <w:br/>
      </w:r>
      <w:r>
        <w:t xml:space="preserve">Date: _________________________</w:t>
      </w:r>
    </w:p>
    <w:p>
      <w:pPr>
        <w:pStyle w:val="BodyText"/>
      </w:pPr>
      <w:r>
        <w:t xml:space="preserve">This Quotation Estimate document (Ref: QTE-THB-2025-0487) was prepared for the engagement of a University Lecturer in Thailand Bangkok. All information is confidential and intended solely for the named recipient. © 2025 Chulalongkorn Academic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Thailand Bangkok</dc:title>
  <dc:creator/>
  <dc:language>en</dc:language>
  <cp:keywords/>
  <dcterms:created xsi:type="dcterms:W3CDTF">2026-10-10T02:06:04Z</dcterms:created>
  <dcterms:modified xsi:type="dcterms:W3CDTF">2026-10-10T02:06:04Z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