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Academic Services — University Lecturer Engagement</w:t>
      </w:r>
    </w:p>
    <w:p>
      <w:pPr>
        <w:pStyle w:val="BodyText"/>
      </w:pPr>
      <w:r>
        <w:t xml:space="preserve">Prepared for Academic Recruitment in Turkey Ankara</w:t>
      </w:r>
    </w:p>
    <w:bookmarkEnd w:id="20"/>
    <w:p>
      <w:pPr>
        <w:pStyle w:val="BodyText"/>
      </w:pPr>
      <w:r>
        <w:rPr>
          <w:bCs/>
          <w:b/>
        </w:rPr>
        <w:t xml:space="preserve">Quotation No.:</w:t>
      </w:r>
      <w:r>
        <w:t xml:space="preserve"> </w:t>
      </w:r>
      <w:r>
        <w:t xml:space="preserve">QE-ANK-2025-0472</w:t>
      </w:r>
      <w:r>
        <w:br/>
      </w:r>
      <w:r>
        <w:rPr>
          <w:bCs/>
          <w:b/>
        </w:rPr>
        <w:t xml:space="preserve">Date of Issue:</w:t>
      </w:r>
      <w:r>
        <w:t xml:space="preserve"> </w:t>
      </w:r>
      <w:r>
        <w:t xml:space="preserve">15 June 2025</w:t>
      </w:r>
      <w:r>
        <w:br/>
      </w:r>
      <w:r>
        <w:rPr>
          <w:bCs/>
          <w:b/>
        </w:rPr>
        <w:t xml:space="preserve">Validity Period:</w:t>
      </w:r>
      <w:r>
        <w:t xml:space="preserve"> </w:t>
      </w:r>
      <w:r>
        <w:t xml:space="preserve">60 days from date of issue</w:t>
      </w:r>
    </w:p>
    <w:p>
      <w:pPr>
        <w:pStyle w:val="BodyText"/>
      </w:pPr>
      <w:r>
        <w:rPr>
          <w:bCs/>
          <w:b/>
        </w:rPr>
        <w:t xml:space="preserve">Prepared By:</w:t>
      </w:r>
      <w:r>
        <w:t xml:space="preserve"> </w:t>
      </w:r>
      <w:r>
        <w:t xml:space="preserve">Ankara Academic Recruitment Bureau</w:t>
      </w:r>
      <w:r>
        <w:br/>
      </w:r>
      <w:r>
        <w:rPr>
          <w:bCs/>
          <w:b/>
        </w:rPr>
        <w:t xml:space="preserve">Address:</w:t>
      </w:r>
      <w:r>
        <w:t xml:space="preserve"> </w:t>
      </w:r>
      <w:r>
        <w:t xml:space="preserve">Kızılay Mah. Atatürk Bulvarı No. 142, 06420 Çankaya, Ankara, Turkey</w:t>
      </w:r>
      <w:r>
        <w:br/>
      </w:r>
      <w:r>
        <w:rPr>
          <w:bCs/>
          <w:b/>
        </w:rPr>
        <w:t xml:space="preserve">Contact:</w:t>
      </w:r>
      <w:r>
        <w:t xml:space="preserve"> </w:t>
      </w:r>
      <w:r>
        <w:t xml:space="preserve">+90 312 445 6789 | info@ankaraacademicrecruitment.tr</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document is issued in response to the formal request submitted by the Faculty of Engineering and Natural Sciences at a recognized higher education institution located in</w:t>
      </w:r>
      <w:r>
        <w:t xml:space="preserve"> </w:t>
      </w:r>
      <w:r>
        <w:t xml:space="preserve">Turkey Ankara</w:t>
      </w:r>
      <w:r>
        <w:t xml:space="preserve">. The purpose of this estimate is to provide a comprehensive, itemized financial breakdown for the recruitment, onboarding, and annual engagement of a qualified</w:t>
      </w:r>
      <w:r>
        <w:t xml:space="preserve"> </w:t>
      </w:r>
      <w:r>
        <w:t xml:space="preserve">University Lecturer</w:t>
      </w:r>
      <w:r>
        <w:t xml:space="preserve"> </w:t>
      </w:r>
      <w:r>
        <w:t xml:space="preserve">to deliver undergraduate and graduate-level instruction, conduct research supervision, and participate in academic governance activities during the 2025–2026 academic year.</w:t>
      </w:r>
    </w:p>
    <w:p>
      <w:pPr>
        <w:pStyle w:val="BodyText"/>
      </w:pPr>
      <w:r>
        <w:t xml:space="preserve">The scope of this</w:t>
      </w:r>
      <w:r>
        <w:t xml:space="preserve"> </w:t>
      </w:r>
      <w:r>
        <w:t xml:space="preserve">Quotation Estimate</w:t>
      </w:r>
      <w:r>
        <w:t xml:space="preserve"> </w:t>
      </w:r>
      <w:r>
        <w:t xml:space="preserve">covers all costs associated with the professional engagement of a</w:t>
      </w:r>
      <w:r>
        <w:t xml:space="preserve"> </w:t>
      </w:r>
      <w:r>
        <w:t xml:space="preserve">University Lecturer</w:t>
      </w:r>
      <w:r>
        <w:t xml:space="preserve"> </w:t>
      </w:r>
      <w:r>
        <w:t xml:space="preserve">in the field of Computer Science and Artificial Intelligence, including compensation, benefits, administrative support, and ancillary academic services. All figures are presented in Turkish Lira (TRY) and are subject to the prevailing exchange rates and regulatory frameworks applicable in</w:t>
      </w:r>
      <w:r>
        <w:t xml:space="preserve"> </w:t>
      </w:r>
      <w:r>
        <w:t xml:space="preserve">Turkey Ankara</w:t>
      </w:r>
      <w:r>
        <w:t xml:space="preserve"> </w:t>
      </w:r>
      <w:r>
        <w:t xml:space="preserve">at the time of contract execution.</w:t>
      </w:r>
    </w:p>
    <w:bookmarkEnd w:id="21"/>
    <w:bookmarkStart w:id="22" w:name="client-and-recipient-information"/>
    <w:p>
      <w:pPr>
        <w:pStyle w:val="Heading2"/>
      </w:pPr>
      <w:r>
        <w:t xml:space="preserve">2. Client and Recipient Information</w:t>
      </w:r>
    </w:p>
    <w:p>
      <w:pPr>
        <w:pStyle w:val="FirstParagraph"/>
      </w:pPr>
      <w:r>
        <w:t xml:space="preserve">Field</w:t>
      </w:r>
    </w:p>
    <w:bookmarkEnd w:id="22"/>
    <w:p>
      <w:pPr>
        <w:pStyle w:val="BodyText"/>
      </w:pPr>
      <w:r>
        <w:t xml:space="preserve">Details</w:t>
      </w:r>
    </w:p>
    <w:p>
      <w:pPr>
        <w:pStyle w:val="BodyText"/>
      </w:pPr>
      <w:r>
        <w:t xml:space="preserve">Institution Name</w:t>
      </w:r>
    </w:p>
    <w:p>
      <w:pPr>
        <w:pStyle w:val="BodyText"/>
      </w:pPr>
      <w:r>
        <w:t xml:space="preserve">Faculty of Engineering and Natural Sciences, Ankara Metropolitan University</w:t>
      </w:r>
    </w:p>
    <w:p>
      <w:pPr>
        <w:pStyle w:val="BodyText"/>
      </w:pPr>
      <w:r>
        <w:t xml:space="preserve">Institution Address</w:t>
      </w:r>
    </w:p>
    <w:p>
      <w:pPr>
        <w:pStyle w:val="BodyText"/>
      </w:pPr>
      <w:r>
        <w:t xml:space="preserve">Beştepe Campus, 06800 Çankaya, Ankara, Turkey</w:t>
      </w:r>
    </w:p>
    <w:p>
      <w:pPr>
        <w:pStyle w:val="BodyText"/>
      </w:pPr>
      <w:r>
        <w:t xml:space="preserve">Department</w:t>
      </w:r>
    </w:p>
    <w:p>
      <w:pPr>
        <w:pStyle w:val="BodyText"/>
      </w:pPr>
      <w:r>
        <w:t xml:space="preserve">Department of Computer Science and Artificial Intelligence</w:t>
      </w:r>
    </w:p>
    <w:p>
      <w:pPr>
        <w:pStyle w:val="BodyText"/>
      </w:pPr>
      <w:r>
        <w:t xml:space="preserve">Position Required</w:t>
      </w:r>
    </w:p>
    <w:p>
      <w:pPr>
        <w:pStyle w:val="BodyText"/>
      </w:pPr>
      <w:r>
        <w:t xml:space="preserve">University Lecturer (Assistant Professor / Doçent equivalent)</w:t>
      </w:r>
    </w:p>
    <w:p>
      <w:pPr>
        <w:pStyle w:val="BodyText"/>
      </w:pPr>
      <w:r>
        <w:t xml:space="preserve">Academic Year</w:t>
      </w:r>
    </w:p>
    <w:p>
      <w:pPr>
        <w:pStyle w:val="BodyText"/>
      </w:pPr>
      <w:r>
        <w:t xml:space="preserve">2025–2026 (September 2025 – June 2026)</w:t>
      </w:r>
    </w:p>
    <w:p>
      <w:pPr>
        <w:pStyle w:val="BodyText"/>
      </w:pPr>
      <w:r>
        <w:t xml:space="preserve">Work Location</w:t>
      </w:r>
    </w:p>
    <w:p>
      <w:pPr>
        <w:pStyle w:val="BodyText"/>
      </w:pPr>
      <w:r>
        <w:t xml:space="preserve">Turkey Ankara</w:t>
      </w:r>
      <w:r>
        <w:t xml:space="preserve"> </w:t>
      </w:r>
      <w:r>
        <w:t xml:space="preserve">— Primary campus with remote research flexibility</w:t>
      </w:r>
    </w:p>
    <w:bookmarkStart w:id="23" w:name="itemized-cost-breakdown"/>
    <w:p>
      <w:pPr>
        <w:pStyle w:val="Heading2"/>
      </w:pPr>
      <w:r>
        <w:t xml:space="preserve">3. Itemized Cost Breakdown</w:t>
      </w:r>
    </w:p>
    <w:p>
      <w:pPr>
        <w:pStyle w:val="FirstParagraph"/>
      </w:pPr>
      <w:r>
        <w:t xml:space="preserve">The following table constitutes the core financial component of this</w:t>
      </w:r>
      <w:r>
        <w:t xml:space="preserve"> </w:t>
      </w:r>
      <w:r>
        <w:t xml:space="preserve">Quotation Estimate</w:t>
      </w:r>
      <w:r>
        <w:t xml:space="preserve"> </w:t>
      </w:r>
      <w:r>
        <w:t xml:space="preserve">for the engagement of a</w:t>
      </w:r>
      <w:r>
        <w:t xml:space="preserve"> </w:t>
      </w:r>
      <w:r>
        <w:t xml:space="preserve">University Lecturer</w:t>
      </w:r>
      <w:r>
        <w:t xml:space="preserve"> </w:t>
      </w:r>
      <w:r>
        <w:t xml:space="preserve">in</w:t>
      </w:r>
      <w:r>
        <w:t xml:space="preserve"> </w:t>
      </w:r>
      <w:r>
        <w:t xml:space="preserve">Turkey Ankara</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Cost (TRY)</w:t>
            </w:r>
          </w:p>
        </w:tc>
        <w:tc>
          <w:tcPr/>
          <w:p>
            <w:pPr>
              <w:pStyle w:val="Compact"/>
              <w:jc w:val="left"/>
            </w:pPr>
            <w:r>
              <w:t xml:space="preserve">Total (TRY)</w:t>
            </w:r>
          </w:p>
        </w:tc>
      </w:tr>
      <w:tr>
        <w:tc>
          <w:tcPr/>
          <w:p>
            <w:pPr>
              <w:pStyle w:val="Compact"/>
              <w:jc w:val="left"/>
            </w:pPr>
            <w:r>
              <w:t xml:space="preserve">1.1</w:t>
            </w:r>
          </w:p>
        </w:tc>
        <w:tc>
          <w:tcPr/>
          <w:p>
            <w:pPr>
              <w:pStyle w:val="Compact"/>
              <w:jc w:val="left"/>
            </w:pPr>
            <w:r>
              <w:t xml:space="preserve">Base monthly salary for University Lecturer (10-month academic year)</w:t>
            </w:r>
          </w:p>
        </w:tc>
        <w:tc>
          <w:tcPr/>
          <w:p>
            <w:pPr>
              <w:pStyle w:val="Compact"/>
              <w:jc w:val="left"/>
            </w:pPr>
            <w:r>
              <w:t xml:space="preserve">Month</w:t>
            </w:r>
          </w:p>
        </w:tc>
        <w:tc>
          <w:tcPr/>
          <w:p>
            <w:pPr>
              <w:pStyle w:val="Compact"/>
              <w:jc w:val="left"/>
            </w:pPr>
            <w:r>
              <w:t xml:space="preserve">10</w:t>
            </w:r>
          </w:p>
        </w:tc>
        <w:tc>
          <w:tcPr/>
          <w:p>
            <w:pPr>
              <w:pStyle w:val="Compact"/>
              <w:jc w:val="left"/>
            </w:pPr>
            <w:r>
              <w:t xml:space="preserve">85,000.00</w:t>
            </w:r>
          </w:p>
        </w:tc>
        <w:tc>
          <w:tcPr/>
          <w:p>
            <w:pPr>
              <w:pStyle w:val="Compact"/>
              <w:jc w:val="left"/>
            </w:pPr>
            <w:r>
              <w:t xml:space="preserve">850,000.00</w:t>
            </w:r>
          </w:p>
        </w:tc>
      </w:tr>
      <w:tr>
        <w:tc>
          <w:tcPr/>
          <w:p>
            <w:pPr>
              <w:pStyle w:val="Compact"/>
              <w:jc w:val="left"/>
            </w:pPr>
            <w:r>
              <w:t xml:space="preserve">1.2</w:t>
            </w:r>
          </w:p>
        </w:tc>
        <w:tc>
          <w:tcPr/>
          <w:p>
            <w:pPr>
              <w:pStyle w:val="Compact"/>
              <w:jc w:val="left"/>
            </w:pPr>
            <w:r>
              <w:t xml:space="preserve">Annual performance bonus (research output, teaching evaluation, publication record)</w:t>
            </w:r>
          </w:p>
        </w:tc>
        <w:tc>
          <w:tcPr/>
          <w:p>
            <w:pPr>
              <w:pStyle w:val="Compact"/>
              <w:jc w:val="left"/>
            </w:pPr>
            <w:r>
              <w:t xml:space="preserve">Year</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1.3</w:t>
            </w:r>
          </w:p>
        </w:tc>
        <w:tc>
          <w:tcPr/>
          <w:p>
            <w:pPr>
              <w:pStyle w:val="Compact"/>
              <w:jc w:val="left"/>
            </w:pPr>
            <w:r>
              <w:t xml:space="preserve">Research grant stipend (allocated for peer-reviewed publications and conference presentations)</w:t>
            </w:r>
          </w:p>
        </w:tc>
        <w:tc>
          <w:tcPr/>
          <w:p>
            <w:pPr>
              <w:pStyle w:val="Compact"/>
              <w:jc w:val="left"/>
            </w:pPr>
            <w:r>
              <w:t xml:space="preserve">Year</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1.4</w:t>
            </w:r>
          </w:p>
        </w:tc>
        <w:tc>
          <w:tcPr/>
          <w:p>
            <w:pPr>
              <w:pStyle w:val="Compact"/>
              <w:jc w:val="left"/>
            </w:pPr>
            <w:r>
              <w:t xml:space="preserve">Health insurance and social security contributions (SGK employer share, Turkey Ankara regulations)</w:t>
            </w:r>
          </w:p>
        </w:tc>
        <w:tc>
          <w:tcPr/>
          <w:p>
            <w:pPr>
              <w:pStyle w:val="Compact"/>
              <w:jc w:val="left"/>
            </w:pPr>
            <w:r>
              <w:t xml:space="preserve">Year</w:t>
            </w:r>
          </w:p>
        </w:tc>
        <w:tc>
          <w:tcPr/>
          <w:p>
            <w:pPr>
              <w:pStyle w:val="Compact"/>
              <w:jc w:val="left"/>
            </w:pPr>
            <w:r>
              <w:t xml:space="preserve">1</w:t>
            </w:r>
          </w:p>
        </w:tc>
        <w:tc>
          <w:tcPr/>
          <w:p>
            <w:pPr>
              <w:pStyle w:val="Compact"/>
              <w:jc w:val="left"/>
            </w:pPr>
            <w:r>
              <w:t xml:space="preserve">142,000.00</w:t>
            </w:r>
          </w:p>
        </w:tc>
        <w:tc>
          <w:tcPr/>
          <w:p>
            <w:pPr>
              <w:pStyle w:val="Compact"/>
              <w:jc w:val="left"/>
            </w:pPr>
            <w:r>
              <w:t xml:space="preserve">142,000.00</w:t>
            </w:r>
          </w:p>
        </w:tc>
      </w:tr>
      <w:tr>
        <w:tc>
          <w:tcPr/>
          <w:p>
            <w:pPr>
              <w:pStyle w:val="Compact"/>
              <w:jc w:val="left"/>
            </w:pPr>
            <w:r>
              <w:t xml:space="preserve">1.5</w:t>
            </w:r>
          </w:p>
        </w:tc>
        <w:tc>
          <w:tcPr/>
          <w:p>
            <w:pPr>
              <w:pStyle w:val="Compact"/>
              <w:jc w:val="left"/>
            </w:pPr>
            <w:r>
              <w:t xml:space="preserve">Housing allowance and relocation package (applicable to lecturers relocating to Turkey Ankara)</w:t>
            </w:r>
          </w:p>
        </w:tc>
        <w:tc>
          <w:tcPr/>
          <w:p>
            <w:pPr>
              <w:pStyle w:val="Compact"/>
              <w:jc w:val="left"/>
            </w:pPr>
            <w:r>
              <w:t xml:space="preserve">Year</w:t>
            </w:r>
          </w:p>
        </w:tc>
        <w:tc>
          <w:tcPr/>
          <w:p>
            <w:pPr>
              <w:pStyle w:val="Compact"/>
              <w:jc w:val="left"/>
            </w:pPr>
            <w:r>
              <w:t xml:space="preserve">1</w:t>
            </w:r>
          </w:p>
        </w:tc>
        <w:tc>
          <w:tcPr/>
          <w:p>
            <w:pPr>
              <w:pStyle w:val="Compact"/>
              <w:jc w:val="left"/>
            </w:pPr>
            <w:r>
              <w:t xml:space="preserve">78,000.00</w:t>
            </w:r>
          </w:p>
        </w:tc>
        <w:tc>
          <w:tcPr/>
          <w:p>
            <w:pPr>
              <w:pStyle w:val="Compact"/>
              <w:jc w:val="left"/>
            </w:pPr>
            <w:r>
              <w:t xml:space="preserve">78,000.00</w:t>
            </w:r>
          </w:p>
        </w:tc>
      </w:tr>
      <w:tr>
        <w:tc>
          <w:tcPr/>
          <w:p>
            <w:pPr>
              <w:pStyle w:val="Compact"/>
              <w:jc w:val="left"/>
            </w:pPr>
            <w:r>
              <w:t xml:space="preserve">1.6</w:t>
            </w:r>
          </w:p>
        </w:tc>
        <w:tc>
          <w:tcPr/>
          <w:p>
            <w:pPr>
              <w:pStyle w:val="Compact"/>
              <w:jc w:val="left"/>
            </w:pPr>
            <w:r>
              <w:t xml:space="preserve">Professional development and conference travel budget (minimum 2 international conferences per year)</w:t>
            </w:r>
          </w:p>
        </w:tc>
        <w:tc>
          <w:tcPr/>
          <w:p>
            <w:pPr>
              <w:pStyle w:val="Compact"/>
              <w:jc w:val="left"/>
            </w:pPr>
            <w:r>
              <w:t xml:space="preserve">Year</w:t>
            </w:r>
          </w:p>
        </w:tc>
        <w:tc>
          <w:tcPr/>
          <w:p>
            <w:pPr>
              <w:pStyle w:val="Compact"/>
              <w:jc w:val="left"/>
            </w:pPr>
            <w:r>
              <w:t xml:space="preserve">1</w:t>
            </w:r>
          </w:p>
        </w:tc>
        <w:tc>
          <w:tcPr/>
          <w:p>
            <w:pPr>
              <w:pStyle w:val="Compact"/>
              <w:jc w:val="left"/>
            </w:pPr>
            <w:r>
              <w:t xml:space="preserve">55,000.00</w:t>
            </w:r>
          </w:p>
        </w:tc>
        <w:tc>
          <w:tcPr/>
          <w:p>
            <w:pPr>
              <w:pStyle w:val="Compact"/>
              <w:jc w:val="left"/>
            </w:pPr>
            <w:r>
              <w:t xml:space="preserve">55,000.00</w:t>
            </w:r>
          </w:p>
        </w:tc>
      </w:tr>
      <w:tr>
        <w:tc>
          <w:tcPr/>
          <w:p>
            <w:pPr>
              <w:pStyle w:val="Compact"/>
              <w:jc w:val="left"/>
            </w:pPr>
            <w:r>
              <w:t xml:space="preserve">1.7</w:t>
            </w:r>
          </w:p>
        </w:tc>
        <w:tc>
          <w:tcPr/>
          <w:p>
            <w:pPr>
              <w:pStyle w:val="Compact"/>
              <w:jc w:val="left"/>
            </w:pPr>
            <w:r>
              <w:t xml:space="preserve">Administrative and onboarding fees (visa processing, work permit, academic credential verification in Turkey Ankara)</w:t>
            </w:r>
          </w:p>
        </w:tc>
        <w:tc>
          <w:tcPr/>
          <w:p>
            <w:pPr>
              <w:pStyle w:val="Compact"/>
              <w:jc w:val="left"/>
            </w:pPr>
            <w:r>
              <w:t xml:space="preserve">Flat</w:t>
            </w:r>
          </w:p>
        </w:tc>
        <w:tc>
          <w:tcPr/>
          <w:p>
            <w:pPr>
              <w:pStyle w:val="Compact"/>
              <w:jc w:val="left"/>
            </w:pPr>
            <w:r>
              <w:t xml:space="preserve">1</w:t>
            </w:r>
          </w:p>
        </w:tc>
        <w:tc>
          <w:tcPr/>
          <w:p>
            <w:pPr>
              <w:pStyle w:val="Compact"/>
              <w:jc w:val="left"/>
            </w:pPr>
            <w:r>
              <w:t xml:space="preserve">22,500.00</w:t>
            </w:r>
          </w:p>
        </w:tc>
        <w:tc>
          <w:tcPr/>
          <w:p>
            <w:pPr>
              <w:pStyle w:val="Compact"/>
              <w:jc w:val="left"/>
            </w:pPr>
            <w:r>
              <w:t xml:space="preserve">22,500.00</w:t>
            </w:r>
          </w:p>
        </w:tc>
      </w:tr>
      <w:tr>
        <w:tc>
          <w:tcPr/>
          <w:p>
            <w:pPr>
              <w:pStyle w:val="Compact"/>
              <w:jc w:val="left"/>
            </w:pPr>
            <w:r>
              <w:t xml:space="preserve">1.8</w:t>
            </w:r>
          </w:p>
        </w:tc>
        <w:tc>
          <w:tcPr/>
          <w:p>
            <w:pPr>
              <w:pStyle w:val="Compact"/>
              <w:jc w:val="left"/>
            </w:pPr>
            <w:r>
              <w:t xml:space="preserve">Teaching materials, laboratory access, and software licensing (annual allocation)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1.9</w:t>
            </w:r>
          </w:p>
        </w:tc>
        <w:tc>
          <w:tcPr/>
          <w:p>
            <w:pPr>
              <w:pStyle w:val="Compact"/>
              <w:jc w:val="left"/>
            </w:pPr>
            <w:r>
              <w:t xml:space="preserve">Graduate student supervision allowance (up to 4 PhD candidates per academic year)</w:t>
            </w:r>
          </w:p>
        </w:tc>
        <w:tc>
          <w:tcPr/>
          <w:p>
            <w:pPr>
              <w:pStyle w:val="Compact"/>
              <w:jc w:val="left"/>
            </w:pPr>
            <w:r>
              <w:t xml:space="preserve">Year</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1.10</w:t>
            </w:r>
          </w:p>
        </w:tc>
        <w:tc>
          <w:tcPr/>
          <w:p>
            <w:pPr>
              <w:pStyle w:val="Compact"/>
              <w:jc w:val="left"/>
            </w:pPr>
            <w:r>
              <w:t xml:space="preserve">Contingency and institutional overhead (approximately 5% of subtotal)</w:t>
            </w:r>
          </w:p>
        </w:tc>
        <w:tc>
          <w:tcPr/>
          <w:p>
            <w:pPr>
              <w:pStyle w:val="Compact"/>
              <w:jc w:val="left"/>
            </w:pPr>
            <w:r>
              <w:t xml:space="preserve">Flat</w:t>
            </w:r>
          </w:p>
        </w:tc>
        <w:tc>
          <w:tcPr/>
          <w:p>
            <w:pPr>
              <w:pStyle w:val="Compact"/>
              <w:jc w:val="left"/>
            </w:pPr>
            <w:r>
              <w:t xml:space="preserve">1</w:t>
            </w:r>
          </w:p>
        </w:tc>
        <w:tc>
          <w:tcPr/>
          <w:p>
            <w:pPr>
              <w:pStyle w:val="Compact"/>
              <w:jc w:val="left"/>
            </w:pPr>
            <w:r>
              <w:t xml:space="preserve">75,050.00</w:t>
            </w:r>
          </w:p>
        </w:tc>
        <w:tc>
          <w:tcPr/>
          <w:p>
            <w:pPr>
              <w:pStyle w:val="Compact"/>
              <w:jc w:val="left"/>
            </w:pPr>
            <w:r>
              <w:t xml:space="preserve">75,050.00</w:t>
            </w:r>
          </w:p>
        </w:tc>
      </w:tr>
      <w:tr>
        <w:tc>
          <w:tcPr>
            <w:gridSpan w:val="5"/>
          </w:tcPr>
          <w:p>
            <w:pPr>
              <w:pStyle w:val="Compact"/>
              <w:jc w:val="right"/>
            </w:pPr>
            <w:r>
              <w:t xml:space="preserve">GRAND TOTAL (TRY)</w:t>
            </w:r>
          </w:p>
        </w:tc>
        <w:tc>
          <w:tcPr/>
          <w:p>
            <w:pPr>
              <w:pStyle w:val="Compact"/>
              <w:jc w:val="left"/>
            </w:pPr>
            <w:r>
              <w:t xml:space="preserve">1,520,550.00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sixty (60) calendar days from the date of issue. Beyond this period, all costs listed herein are subject to revision based on prevailing economic conditions in</w:t>
      </w:r>
      <w:r>
        <w:t xml:space="preserve"> </w:t>
      </w:r>
      <w:r>
        <w:t xml:space="preserve">Turkey Ankara</w:t>
      </w:r>
      <w:r>
        <w:t xml:space="preserve">, including but not limited to inflation adjustments and changes in the Turkish Lira exchange rate.</w:t>
      </w:r>
    </w:p>
    <w:p>
      <w:pPr>
        <w:numPr>
          <w:ilvl w:val="0"/>
          <w:numId w:val="1001"/>
        </w:numPr>
        <w:pStyle w:val="Compact"/>
      </w:pPr>
      <w:r>
        <w:t xml:space="preserve">The engagement of the</w:t>
      </w:r>
      <w:r>
        <w:t xml:space="preserve"> </w:t>
      </w:r>
      <w:r>
        <w:t xml:space="preserve">University Lecturer</w:t>
      </w:r>
      <w:r>
        <w:t xml:space="preserve"> </w:t>
      </w:r>
      <w:r>
        <w:t xml:space="preserve">is contingent upon successful completion of the institutional hiring process, including academic credential verification, background checks, and approval by the Senate of the host university in Ankara.</w:t>
      </w:r>
    </w:p>
    <w:p>
      <w:pPr>
        <w:numPr>
          <w:ilvl w:val="0"/>
          <w:numId w:val="1001"/>
        </w:numPr>
        <w:pStyle w:val="Compact"/>
      </w:pPr>
      <w:r>
        <w:t xml:space="preserve">Payment terms: 30% of the total amount shall be due upon contract signing; the remaining 70% shall be disbursed in ten equal monthly installments aligned with the academic calendar in</w:t>
      </w:r>
      <w:r>
        <w:t xml:space="preserve"> </w:t>
      </w:r>
      <w:r>
        <w:t xml:space="preserve">Turkey Ankara</w:t>
      </w:r>
      <w:r>
        <w:t xml:space="preserve">.</w:t>
      </w:r>
    </w:p>
    <w:p>
      <w:pPr>
        <w:numPr>
          <w:ilvl w:val="0"/>
          <w:numId w:val="1001"/>
        </w:numPr>
        <w:pStyle w:val="Compact"/>
      </w:pPr>
      <w:r>
        <w:t xml:space="preserve">All compensation and benefits outlined in this estimate are subject to the Turkish Labor Law (Law No. 4857), the Higher Education Law (Law No. 2547), and applicable regulations issued by the Council of Higher Education (YÖK) governing academic personnel in Turkey.</w:t>
      </w:r>
    </w:p>
    <w:p>
      <w:pPr>
        <w:numPr>
          <w:ilvl w:val="0"/>
          <w:numId w:val="1001"/>
        </w:numPr>
        <w:pStyle w:val="Compact"/>
      </w:pPr>
      <w:r>
        <w:t xml:space="preserve">The</w:t>
      </w:r>
      <w:r>
        <w:t xml:space="preserve"> </w:t>
      </w:r>
      <w:r>
        <w:t xml:space="preserve">University Lecturer</w:t>
      </w:r>
      <w:r>
        <w:t xml:space="preserve"> </w:t>
      </w:r>
      <w:r>
        <w:t xml:space="preserve">shall be expected to deliver a minimum of 12 credit hours of instruction per week, supervise graduate research, and participate in at least one departmental committee per semester.</w:t>
      </w:r>
    </w:p>
    <w:p>
      <w:pPr>
        <w:numPr>
          <w:ilvl w:val="0"/>
          <w:numId w:val="1001"/>
        </w:numPr>
        <w:pStyle w:val="Compact"/>
      </w:pPr>
      <w:r>
        <w:t xml:space="preserve">Early termination of the contract by either party requires a written notice period of sixty (60) days. In the event of termination for cause, the remaining balance of this</w:t>
      </w:r>
      <w:r>
        <w:t xml:space="preserve"> </w:t>
      </w:r>
      <w:r>
        <w:t xml:space="preserve">Quotation Estimate</w:t>
      </w:r>
      <w:r>
        <w:t xml:space="preserve"> </w:t>
      </w:r>
      <w:r>
        <w:t xml:space="preserve">shall be recalculated on a pro-rata basis.</w:t>
      </w:r>
    </w:p>
    <w:p>
      <w:pPr>
        <w:numPr>
          <w:ilvl w:val="0"/>
          <w:numId w:val="1001"/>
        </w:numPr>
        <w:pStyle w:val="Compact"/>
      </w:pPr>
      <w:r>
        <w:t xml:space="preserve">This estimate does not include personal income tax obligations of the</w:t>
      </w:r>
      <w:r>
        <w:t xml:space="preserve"> </w:t>
      </w:r>
      <w:r>
        <w:t xml:space="preserve">University Lecturer</w:t>
      </w:r>
      <w:r>
        <w:t xml:space="preserve">, which shall be withheld at source in accordance with Turkish tax legislation applicable in Ankara.</w:t>
      </w:r>
    </w:p>
    <w:p>
      <w:pPr>
        <w:numPr>
          <w:ilvl w:val="0"/>
          <w:numId w:val="1001"/>
        </w:numPr>
        <w:pStyle w:val="Compact"/>
      </w:pPr>
      <w:r>
        <w:t xml:space="preserve">All intellectual property generated during the course of employment shall be governed by the institutional IP policy of the host university in</w:t>
      </w:r>
      <w:r>
        <w:t xml:space="preserve"> </w:t>
      </w:r>
      <w:r>
        <w:t xml:space="preserve">Turkey Ankara</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the authorized representative of the institution acknowledges receipt of this</w:t>
      </w:r>
      <w:r>
        <w:t xml:space="preserve"> </w:t>
      </w:r>
      <w:r>
        <w:t xml:space="preserve">Quotation Estimate</w:t>
      </w:r>
      <w:r>
        <w:t xml:space="preserve"> </w:t>
      </w:r>
      <w:r>
        <w:t xml:space="preserve">and confirms that the terms, conditions, and financial figures presented herein are acceptable for the engagement of a</w:t>
      </w:r>
      <w:r>
        <w:t xml:space="preserve"> </w:t>
      </w:r>
      <w:r>
        <w:t xml:space="preserve">University Lecturer</w:t>
      </w:r>
      <w:r>
        <w:t xml:space="preserve"> </w:t>
      </w:r>
      <w:r>
        <w:t xml:space="preserve">in</w:t>
      </w:r>
      <w:r>
        <w:t xml:space="preserve"> </w:t>
      </w:r>
      <w:r>
        <w:t xml:space="preserve">Turkey Ankara</w:t>
      </w:r>
      <w:r>
        <w:t xml:space="preserve"> </w:t>
      </w:r>
      <w:r>
        <w:t xml:space="preserve">for the 2025–2026 academic year.</w:t>
      </w:r>
    </w:p>
    <w:bookmarkEnd w:id="25"/>
    <w:p>
      <w:pPr>
        <w:pStyle w:val="BodyText"/>
      </w:pPr>
      <w:r>
        <w:rPr>
          <w:bCs/>
          <w:b/>
        </w:rPr>
        <w:t xml:space="preserve">For the Institution (Client):</w:t>
      </w:r>
    </w:p>
    <w:p>
      <w:pPr>
        <w:pStyle w:val="BodyText"/>
      </w:pPr>
      <w:r>
        <w:t xml:space="preserve">Name: ______________________________</w:t>
      </w:r>
      <w:r>
        <w:br/>
      </w:r>
      <w:r>
        <w:t xml:space="preserve">Title: Dean, Faculty of Engineering</w:t>
      </w:r>
      <w:r>
        <w:br/>
      </w:r>
      <w:r>
        <w:t xml:space="preserve">Signature &amp; Date: ______________________________</w:t>
      </w:r>
    </w:p>
    <w:p>
      <w:pPr>
        <w:pStyle w:val="BodyText"/>
      </w:pPr>
      <w:r>
        <w:rPr>
          <w:bCs/>
          <w:b/>
        </w:rPr>
        <w:t xml:space="preserve">For Ankara Academic Recruitment Bureau:</w:t>
      </w:r>
    </w:p>
    <w:p>
      <w:pPr>
        <w:pStyle w:val="BodyText"/>
      </w:pPr>
      <w:r>
        <w:t xml:space="preserve">Name: ______________________________</w:t>
      </w:r>
      <w:r>
        <w:br/>
      </w:r>
      <w:r>
        <w:t xml:space="preserve">Title: Director of Academic Placements</w:t>
      </w:r>
      <w:r>
        <w:br/>
      </w:r>
      <w:r>
        <w:t xml:space="preserve">Signature &amp; Date: ______________________________</w:t>
      </w:r>
    </w:p>
    <w:p>
      <w:pPr>
        <w:pStyle w:val="BodyText"/>
      </w:pPr>
      <w:r>
        <w:t xml:space="preserve">Quotation Estimate No. QE-ANK-2025-0472 — University Lecturer Engagement — Turkey Ankara</w:t>
      </w:r>
      <w:r>
        <w:br/>
      </w:r>
      <w:r>
        <w:t xml:space="preserve">This document is confidential and intended solely for the named recipient. Unauthorized reproduction or distribution is prohibited.</w:t>
      </w:r>
      <w:r>
        <w:br/>
      </w:r>
      <w:r>
        <w:t xml:space="preserve">© 2025 Ankara Academic Recruitment Bureau.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Turkey Ankara</dc:title>
  <dc:creator/>
  <dc:language>en</dc:language>
  <cp:keywords/>
  <dcterms:created xsi:type="dcterms:W3CDTF">2026-10-10T06:27:34Z</dcterms:created>
  <dcterms:modified xsi:type="dcterms:W3CDTF">2026-10-10T06:27:34Z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