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Services for University Lecturer Engagement — Turkey Istanbul</w:t>
      </w:r>
    </w:p>
    <w:p>
      <w:pPr>
        <w:pStyle w:val="BodyText"/>
      </w:pPr>
      <w:r>
        <w:t xml:space="preserve">Document Ref: QE-IST-2025-0472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QE-IST-2025-0472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Prepared For</w:t>
            </w:r>
          </w:p>
        </w:tc>
        <w:tc>
          <w:tcPr/>
          <w:p>
            <w:pPr>
              <w:pStyle w:val="Compact"/>
              <w:jc w:val="left"/>
            </w:pPr>
            <w:r>
              <w:t xml:space="preserve">Faculty of Engineering and Applied Sciences, Istanbul Technical University (ITU), Turkey Istanbul</w:t>
            </w:r>
          </w:p>
        </w:tc>
      </w:tr>
      <w:tr>
        <w:tc>
          <w:tcPr/>
          <w:p>
            <w:pPr>
              <w:pStyle w:val="Compact"/>
              <w:jc w:val="left"/>
            </w:pPr>
            <w:r>
              <w:t xml:space="preserve">Prepared By</w:t>
            </w:r>
          </w:p>
        </w:tc>
        <w:tc>
          <w:tcPr/>
          <w:p>
            <w:pPr>
              <w:pStyle w:val="Compact"/>
              <w:jc w:val="left"/>
            </w:pPr>
            <w:r>
              <w:t xml:space="preserve">Academic Recruitment &amp; Placement Division, Istanbul Metropolitan Office</w:t>
            </w:r>
          </w:p>
        </w:tc>
      </w:tr>
      <w:tr>
        <w:tc>
          <w:tcPr/>
          <w:p>
            <w:pPr>
              <w:pStyle w:val="Compact"/>
              <w:jc w:val="left"/>
            </w:pPr>
            <w:r>
              <w:t xml:space="preserve">Position</w:t>
            </w:r>
          </w:p>
        </w:tc>
        <w:tc>
          <w:tcPr/>
          <w:p>
            <w:pPr>
              <w:pStyle w:val="Compact"/>
              <w:jc w:val="left"/>
            </w:pPr>
            <w:r>
              <w:t xml:space="preserve">University Lecturer (Full-Time, Tenure-Track)</w:t>
            </w:r>
          </w:p>
        </w:tc>
      </w:tr>
      <w:tr>
        <w:tc>
          <w:tcPr/>
          <w:p>
            <w:pPr>
              <w:pStyle w:val="Compact"/>
              <w:jc w:val="left"/>
            </w:pPr>
            <w:r>
              <w:t xml:space="preserve">Location</w:t>
            </w:r>
          </w:p>
        </w:tc>
        <w:tc>
          <w:tcPr/>
          <w:p>
            <w:pPr>
              <w:pStyle w:val="Compact"/>
              <w:jc w:val="left"/>
            </w:pPr>
            <w:r>
              <w:t xml:space="preserve">Maslak Campus, Sarıyer District, Turkey Istanbul</w:t>
            </w:r>
          </w:p>
        </w:tc>
      </w:tr>
      <w:tr>
        <w:tc>
          <w:tcPr/>
          <w:p>
            <w:pPr>
              <w:pStyle w:val="Compact"/>
              <w:jc w:val="left"/>
            </w:pPr>
            <w:r>
              <w:t xml:space="preserve">Currency</w:t>
            </w:r>
          </w:p>
        </w:tc>
        <w:tc>
          <w:tcPr/>
          <w:p>
            <w:pPr>
              <w:pStyle w:val="Compact"/>
              <w:jc w:val="left"/>
            </w:pPr>
            <w:r>
              <w:t xml:space="preserve">United States Dollar (USD) / Turkish Lira (TRY) equivalent</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document has been prepared to provide a comprehensive financial and operational breakdown for the recruitment, onboarding, and annual engagement of a qualified University Lecturer in the Department of Mechanical Engineering at a leading academic institution in Turkey Istanbul. The scope encompasses all compensation components, institutional benefits, relocation allowances, and ancillary professional services required to secure a competitive and internationally recognized University Lecturer for the 2025–2026 academic year.</w:t>
      </w:r>
    </w:p>
    <w:p>
      <w:pPr>
        <w:pStyle w:val="BodyText"/>
      </w:pPr>
      <w:r>
        <w:t xml:space="preserve">The Quotation Estimate reflects current market rates applicable to the Turkey Istanbul academic labor market, taking into account the cost of living in the Istanbul metropolitan area, the competitive nature of international faculty recruitment, and the specific requirements outlined by the hiring institution's academic senate.</w:t>
      </w:r>
    </w:p>
    <w:bookmarkEnd w:id="21"/>
    <w:bookmarkStart w:id="22" w:name="compensation-and-financial-breakdown"/>
    <w:p>
      <w:pPr>
        <w:pStyle w:val="Heading2"/>
      </w:pPr>
      <w:r>
        <w:t xml:space="preserve">2. Compensation and Financial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Frequency</w:t>
            </w:r>
          </w:p>
        </w:tc>
        <w:tc>
          <w:tcPr/>
          <w:p>
            <w:pPr>
              <w:pStyle w:val="Compact"/>
              <w:jc w:val="left"/>
            </w:pPr>
            <w:r>
              <w:t xml:space="preserve">Amount (USD)</w:t>
            </w:r>
          </w:p>
        </w:tc>
        <w:tc>
          <w:tcPr/>
          <w:p>
            <w:pPr>
              <w:pStyle w:val="Compact"/>
              <w:jc w:val="left"/>
            </w:pPr>
            <w:r>
              <w:t xml:space="preserve">Amount (TRY)</w:t>
            </w:r>
          </w:p>
        </w:tc>
      </w:tr>
      <w:tr>
        <w:tc>
          <w:tcPr/>
          <w:p>
            <w:pPr>
              <w:pStyle w:val="Compact"/>
              <w:jc w:val="left"/>
            </w:pPr>
            <w:r>
              <w:t xml:space="preserve">Base Annual Salary — University Lecturer (Assistant Professor level)</w:t>
            </w:r>
          </w:p>
        </w:tc>
        <w:tc>
          <w:tcPr/>
          <w:p>
            <w:pPr>
              <w:pStyle w:val="Compact"/>
              <w:jc w:val="left"/>
            </w:pPr>
            <w:r>
              <w:t xml:space="preserve">Annual</w:t>
            </w:r>
          </w:p>
        </w:tc>
        <w:tc>
          <w:tcPr/>
          <w:p>
            <w:pPr>
              <w:pStyle w:val="Compact"/>
              <w:jc w:val="left"/>
            </w:pPr>
            <w:r>
              <w:t xml:space="preserve">$48,000.00</w:t>
            </w:r>
          </w:p>
        </w:tc>
        <w:tc>
          <w:tcPr/>
          <w:p>
            <w:pPr>
              <w:pStyle w:val="Compact"/>
              <w:jc w:val="left"/>
            </w:pPr>
            <w:r>
              <w:t xml:space="preserve">₺1,584,000.00</w:t>
            </w:r>
          </w:p>
        </w:tc>
      </w:tr>
      <w:tr>
        <w:tc>
          <w:tcPr/>
          <w:p>
            <w:pPr>
              <w:pStyle w:val="Compact"/>
              <w:jc w:val="left"/>
            </w:pPr>
            <w:r>
              <w:t xml:space="preserve">Academic Research Stipend (publication and grant incentive)</w:t>
            </w:r>
          </w:p>
        </w:tc>
        <w:tc>
          <w:tcPr/>
          <w:p>
            <w:pPr>
              <w:pStyle w:val="Compact"/>
              <w:jc w:val="left"/>
            </w:pPr>
            <w:r>
              <w:t xml:space="preserve">Annual</w:t>
            </w:r>
          </w:p>
        </w:tc>
        <w:tc>
          <w:tcPr/>
          <w:p>
            <w:pPr>
              <w:pStyle w:val="Compact"/>
              <w:jc w:val="left"/>
            </w:pPr>
            <w:r>
              <w:t xml:space="preserve">$6,500.00</w:t>
            </w:r>
          </w:p>
        </w:tc>
        <w:tc>
          <w:tcPr/>
          <w:p>
            <w:pPr>
              <w:pStyle w:val="Compact"/>
              <w:jc w:val="left"/>
            </w:pPr>
            <w:r>
              <w:t xml:space="preserve">₺214,500.00</w:t>
            </w:r>
          </w:p>
        </w:tc>
      </w:tr>
      <w:tr>
        <w:tc>
          <w:tcPr/>
          <w:p>
            <w:pPr>
              <w:pStyle w:val="Compact"/>
              <w:jc w:val="left"/>
            </w:pPr>
            <w:r>
              <w:t xml:space="preserve">Teaching Load Allowance (exceeding 12 credit hours/semester)</w:t>
            </w:r>
          </w:p>
        </w:tc>
        <w:tc>
          <w:tcPr/>
          <w:p>
            <w:pPr>
              <w:pStyle w:val="Compact"/>
              <w:jc w:val="left"/>
            </w:pPr>
            <w:r>
              <w:t xml:space="preserve">Per Semester</w:t>
            </w:r>
          </w:p>
        </w:tc>
        <w:tc>
          <w:tcPr/>
          <w:p>
            <w:pPr>
              <w:pStyle w:val="Compact"/>
              <w:jc w:val="left"/>
            </w:pPr>
            <w:r>
              <w:t xml:space="preserve">$1,200.00</w:t>
            </w:r>
          </w:p>
        </w:tc>
        <w:tc>
          <w:tcPr/>
          <w:p>
            <w:pPr>
              <w:pStyle w:val="Compact"/>
              <w:jc w:val="left"/>
            </w:pPr>
            <w:r>
              <w:t xml:space="preserve">₺39,600.00</w:t>
            </w:r>
          </w:p>
        </w:tc>
      </w:tr>
      <w:tr>
        <w:tc>
          <w:tcPr/>
          <w:p>
            <w:pPr>
              <w:pStyle w:val="Compact"/>
              <w:jc w:val="left"/>
            </w:pPr>
            <w:r>
              <w:t xml:space="preserve">International Relocation Package (one-time)</w:t>
            </w:r>
          </w:p>
        </w:tc>
        <w:tc>
          <w:tcPr/>
          <w:p>
            <w:pPr>
              <w:pStyle w:val="Compact"/>
              <w:jc w:val="left"/>
            </w:pPr>
            <w:r>
              <w:t xml:space="preserve">One-Time</w:t>
            </w:r>
          </w:p>
        </w:tc>
        <w:tc>
          <w:tcPr/>
          <w:p>
            <w:pPr>
              <w:pStyle w:val="Compact"/>
              <w:jc w:val="left"/>
            </w:pPr>
            <w:r>
              <w:t xml:space="preserve">$7,500.00</w:t>
            </w:r>
          </w:p>
        </w:tc>
        <w:tc>
          <w:tcPr/>
          <w:p>
            <w:pPr>
              <w:pStyle w:val="Compact"/>
              <w:jc w:val="left"/>
            </w:pPr>
            <w:r>
              <w:t xml:space="preserve">₺247,500.00</w:t>
            </w:r>
          </w:p>
        </w:tc>
      </w:tr>
      <w:tr>
        <w:tc>
          <w:tcPr/>
          <w:p>
            <w:pPr>
              <w:pStyle w:val="Compact"/>
              <w:jc w:val="left"/>
            </w:pPr>
            <w:r>
              <w:t xml:space="preserve">Temporary Housing Subsidy (first 6 months in Turkey Istanbul)</w:t>
            </w:r>
          </w:p>
        </w:tc>
        <w:tc>
          <w:tcPr/>
          <w:p>
            <w:pPr>
              <w:pStyle w:val="Compact"/>
              <w:jc w:val="left"/>
            </w:pPr>
            <w:r>
              <w:t xml:space="preserve">Monthly</w:t>
            </w:r>
          </w:p>
        </w:tc>
        <w:tc>
          <w:tcPr/>
          <w:p>
            <w:pPr>
              <w:pStyle w:val="Compact"/>
              <w:jc w:val="left"/>
            </w:pPr>
            <w:r>
              <w:t xml:space="preserve">$900.00</w:t>
            </w:r>
          </w:p>
        </w:tc>
        <w:tc>
          <w:tcPr/>
          <w:p>
            <w:pPr>
              <w:pStyle w:val="Compact"/>
              <w:jc w:val="left"/>
            </w:pPr>
            <w:r>
              <w:t xml:space="preserve">₺29,700.00</w:t>
            </w:r>
          </w:p>
        </w:tc>
      </w:tr>
      <w:tr>
        <w:tc>
          <w:tcPr/>
          <w:p>
            <w:pPr>
              <w:pStyle w:val="Compact"/>
              <w:jc w:val="left"/>
            </w:pPr>
            <w:r>
              <w:t xml:space="preserve">Annual Health Insurance (comprehensive, Istanbul provider)</w:t>
            </w:r>
          </w:p>
        </w:tc>
        <w:tc>
          <w:tcPr/>
          <w:p>
            <w:pPr>
              <w:pStyle w:val="Compact"/>
              <w:jc w:val="left"/>
            </w:pPr>
            <w:r>
              <w:t xml:space="preserve">Annual</w:t>
            </w:r>
          </w:p>
        </w:tc>
        <w:tc>
          <w:tcPr/>
          <w:p>
            <w:pPr>
              <w:pStyle w:val="Compact"/>
              <w:jc w:val="left"/>
            </w:pPr>
            <w:r>
              <w:t xml:space="preserve">$2,800.00</w:t>
            </w:r>
          </w:p>
        </w:tc>
        <w:tc>
          <w:tcPr/>
          <w:p>
            <w:pPr>
              <w:pStyle w:val="Compact"/>
              <w:jc w:val="left"/>
            </w:pPr>
            <w:r>
              <w:t xml:space="preserve">₺92,400.00</w:t>
            </w:r>
          </w:p>
        </w:tc>
      </w:tr>
      <w:tr>
        <w:tc>
          <w:tcPr/>
          <w:p>
            <w:pPr>
              <w:pStyle w:val="Compact"/>
              <w:jc w:val="left"/>
            </w:pPr>
            <w:r>
              <w:t xml:space="preserve">Professional Development &amp; Conference Travel (Turkey Istanbul region + 1 international)</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₺105,600.00</w:t>
            </w:r>
          </w:p>
        </w:tc>
      </w:tr>
      <w:tr>
        <w:tc>
          <w:tcPr/>
          <w:p>
            <w:pPr>
              <w:pStyle w:val="Compact"/>
              <w:jc w:val="left"/>
            </w:pPr>
            <w:r>
              <w:t xml:space="preserve">Language Training Allowance (Turkish language courses)</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₺49,500.00</w:t>
            </w:r>
          </w:p>
        </w:tc>
      </w:tr>
      <w:tr>
        <w:tc>
          <w:tcPr/>
          <w:p>
            <w:pPr>
              <w:pStyle w:val="Compact"/>
              <w:jc w:val="left"/>
            </w:pPr>
            <w:r>
              <w:t xml:space="preserve">Annual Performance Bonus (based on teaching evaluations and research output)</w:t>
            </w:r>
          </w:p>
        </w:tc>
        <w:tc>
          <w:tcPr/>
          <w:p>
            <w:pPr>
              <w:pStyle w:val="Compact"/>
              <w:jc w:val="left"/>
            </w:pPr>
            <w:r>
              <w:t xml:space="preserve">Annual</w:t>
            </w:r>
          </w:p>
        </w:tc>
        <w:tc>
          <w:tcPr/>
          <w:p>
            <w:pPr>
              <w:pStyle w:val="Compact"/>
              <w:jc w:val="left"/>
            </w:pPr>
            <w:r>
              <w:t xml:space="preserve">$4,000.00</w:t>
            </w:r>
          </w:p>
        </w:tc>
        <w:tc>
          <w:tcPr/>
          <w:p>
            <w:pPr>
              <w:pStyle w:val="Compact"/>
              <w:jc w:val="left"/>
            </w:pPr>
            <w:r>
              <w:t xml:space="preserve">₺132,000.00</w:t>
            </w:r>
          </w:p>
        </w:tc>
      </w:tr>
      <w:tr>
        <w:tc>
          <w:tcPr>
            <w:gridSpan w:val="2"/>
          </w:tcPr>
          <w:p>
            <w:pPr>
              <w:pStyle w:val="Compact"/>
              <w:jc w:val="left"/>
            </w:pPr>
            <w:r>
              <w:t xml:space="preserve">TOTAL ESTIMATED ANNUAL COST (Year 1, including one-time items)</w:t>
            </w:r>
          </w:p>
        </w:tc>
        <w:tc>
          <w:tcPr/>
          <w:p>
            <w:pPr>
              <w:pStyle w:val="Compact"/>
              <w:jc w:val="left"/>
            </w:pPr>
            <w:r>
              <w:t xml:space="preserve">$75,600.00</w:t>
            </w:r>
          </w:p>
        </w:tc>
        <w:tc>
          <w:tcPr/>
          <w:p>
            <w:pPr>
              <w:pStyle w:val="Compact"/>
              <w:jc w:val="left"/>
            </w:pPr>
            <w:r>
              <w:t xml:space="preserve">₺2,494,800.00</w:t>
            </w:r>
          </w:p>
        </w:tc>
      </w:tr>
      <w:tr>
        <w:tc>
          <w:tcPr>
            <w:gridSpan w:val="2"/>
          </w:tcPr>
          <w:p>
            <w:pPr>
              <w:pStyle w:val="Compact"/>
              <w:jc w:val="left"/>
            </w:pPr>
            <w:r>
              <w:t xml:space="preserve">TOTAL ESTIMATED ANNUAL COST (Year 2 onwards, recurring only)</w:t>
            </w:r>
          </w:p>
        </w:tc>
        <w:tc>
          <w:tcPr/>
          <w:p>
            <w:pPr>
              <w:pStyle w:val="Compact"/>
              <w:jc w:val="left"/>
            </w:pPr>
            <w:r>
              <w:t xml:space="preserve">$68,100.00</w:t>
            </w:r>
          </w:p>
        </w:tc>
        <w:tc>
          <w:tcPr/>
          <w:p>
            <w:pPr>
              <w:pStyle w:val="Compact"/>
              <w:jc w:val="left"/>
            </w:pPr>
            <w:r>
              <w:t xml:space="preserve">₺2,247,300.00</w:t>
            </w:r>
          </w:p>
        </w:tc>
      </w:tr>
    </w:tbl>
    <w:bookmarkEnd w:id="22"/>
    <w:bookmarkStart w:id="23" w:name="scope-of-duties-university-lecturer-role"/>
    <w:p>
      <w:pPr>
        <w:pStyle w:val="Heading2"/>
      </w:pPr>
      <w:r>
        <w:t xml:space="preserve">3. Scope of Duties — University Lecturer Role</w:t>
      </w:r>
    </w:p>
    <w:p>
      <w:pPr>
        <w:pStyle w:val="FirstParagraph"/>
      </w:pPr>
      <w:r>
        <w:t xml:space="preserve">The University Lecturer engaged under this Quotation Estimate shall fulfill the following core responsibilities within the Turkey Istanbul academic environment:</w:t>
      </w:r>
    </w:p>
    <w:p>
      <w:pPr>
        <w:numPr>
          <w:ilvl w:val="0"/>
          <w:numId w:val="1001"/>
        </w:numPr>
        <w:pStyle w:val="Compact"/>
      </w:pPr>
      <w:r>
        <w:t xml:space="preserve">Deliver a minimum of 12 credit hours of undergraduate and graduate-level instruction per semester in the field of Mechanical Engineering, including but not limited to Thermodynamics, Fluid Mechanics, and Applied Mechanics courses.</w:t>
      </w:r>
    </w:p>
    <w:p>
      <w:pPr>
        <w:numPr>
          <w:ilvl w:val="0"/>
          <w:numId w:val="1001"/>
        </w:numPr>
        <w:pStyle w:val="Compact"/>
      </w:pPr>
      <w:r>
        <w:t xml:space="preserve">Supervise a minimum of three (3) Master's thesis students and one (1) PhD candidate per academic year, providing regular academic mentoring and research guidance.</w:t>
      </w:r>
    </w:p>
    <w:p>
      <w:pPr>
        <w:numPr>
          <w:ilvl w:val="0"/>
          <w:numId w:val="1001"/>
        </w:numPr>
        <w:pStyle w:val="Compact"/>
      </w:pPr>
      <w:r>
        <w:t xml:space="preserve">Conduct original research in the assigned sub-discipline, with an expectation of at least two (2) peer-reviewed journal publications per year in internationally indexed journals.</w:t>
      </w:r>
    </w:p>
    <w:p>
      <w:pPr>
        <w:numPr>
          <w:ilvl w:val="0"/>
          <w:numId w:val="1001"/>
        </w:numPr>
        <w:pStyle w:val="Compact"/>
      </w:pPr>
      <w:r>
        <w:t xml:space="preserve">Participate in departmental and faculty governance committees, curriculum development boards, and accreditation review panels as required by the institution in Turkey Istanbul.</w:t>
      </w:r>
    </w:p>
    <w:p>
      <w:pPr>
        <w:numPr>
          <w:ilvl w:val="0"/>
          <w:numId w:val="1001"/>
        </w:numPr>
        <w:pStyle w:val="Compact"/>
      </w:pPr>
      <w:r>
        <w:t xml:space="preserve">Represent the university at national and international academic conferences, with a minimum of one (1) presentation per year at a venue within Turkey Istanbul or abroad.</w:t>
      </w:r>
    </w:p>
    <w:p>
      <w:pPr>
        <w:numPr>
          <w:ilvl w:val="0"/>
          <w:numId w:val="1001"/>
        </w:numPr>
        <w:pStyle w:val="Compact"/>
      </w:pPr>
      <w:r>
        <w:t xml:space="preserve">Maintain active professional memberships in relevant engineering societies (e.g., TMMOB, ASME, IMechE) and contribute to the academic community in the Istanbul region.</w:t>
      </w:r>
    </w:p>
    <w:bookmarkEnd w:id="23"/>
    <w:bookmarkStart w:id="24" w:name="Xdb5762ffe5e1dda16e087650c7a063f054e1ee7"/>
    <w:p>
      <w:pPr>
        <w:pStyle w:val="Heading2"/>
      </w:pPr>
      <w:r>
        <w:t xml:space="preserve">4. Terms and Conditions of the Quotation Estimate</w:t>
      </w:r>
    </w:p>
    <w:p>
      <w:pPr>
        <w:numPr>
          <w:ilvl w:val="0"/>
          <w:numId w:val="1002"/>
        </w:numPr>
        <w:pStyle w:val="Compact"/>
      </w:pPr>
      <w:r>
        <w:rPr>
          <w:bCs/>
          <w:b/>
        </w:rPr>
        <w:t xml:space="preserve">Validity:</w:t>
      </w:r>
      <w:r>
        <w:t xml:space="preserve"> </w:t>
      </w:r>
      <w:r>
        <w:t xml:space="preserve">This Quotation Estimate is valid for a period of ninety (90) calendar days from the date of issue. Any engagement beyond this period shall require a revised Quotation Estimate reflecting updated market conditions in Turkey Istanbul.</w:t>
      </w:r>
    </w:p>
    <w:p>
      <w:pPr>
        <w:numPr>
          <w:ilvl w:val="0"/>
          <w:numId w:val="1002"/>
        </w:numPr>
        <w:pStyle w:val="Compact"/>
      </w:pPr>
      <w:r>
        <w:rPr>
          <w:bCs/>
          <w:b/>
        </w:rPr>
        <w:t xml:space="preserve">Currency and Exchange Rate:</w:t>
      </w:r>
      <w:r>
        <w:t xml:space="preserve"> </w:t>
      </w:r>
      <w:r>
        <w:t xml:space="preserve">All figures denominated in Turkish Lira (TRY) are calculated at an exchange rate of 1 USD = 33.00 TRY. The institution reserves the right to adjust TRY-denominated amounts quarterly based on the central bank reference rate published by the Central Bank of the Republic of Turkey.</w:t>
      </w:r>
    </w:p>
    <w:p>
      <w:pPr>
        <w:numPr>
          <w:ilvl w:val="0"/>
          <w:numId w:val="1002"/>
        </w:numPr>
        <w:pStyle w:val="Compact"/>
      </w:pPr>
      <w:r>
        <w:rPr>
          <w:bCs/>
          <w:b/>
        </w:rPr>
        <w:t xml:space="preserve">Taxation:</w:t>
      </w:r>
      <w:r>
        <w:t xml:space="preserve"> </w:t>
      </w:r>
      <w:r>
        <w:t xml:space="preserve">The University Lecturer shall be subject to Turkish personal income tax (Gelir Vergisi) as mandated by the Ministry of Finance. The institution will withhold applicable taxes at source. Social security contributions (SGK) shall be shared between employer and employee in accordance with Turkish labor law.</w:t>
      </w:r>
    </w:p>
    <w:p>
      <w:pPr>
        <w:numPr>
          <w:ilvl w:val="0"/>
          <w:numId w:val="1002"/>
        </w:numPr>
        <w:pStyle w:val="Compact"/>
      </w:pPr>
      <w:r>
        <w:rPr>
          <w:bCs/>
          <w:b/>
        </w:rPr>
        <w:t xml:space="preserve">Contract Duration:</w:t>
      </w:r>
      <w:r>
        <w:t xml:space="preserve"> </w:t>
      </w:r>
      <w:r>
        <w:t xml:space="preserve">The initial engagement period is three (3) academic years, with the possibility of renewal upon satisfactory performance review. The University Lecturer may apply for tenure at the conclusion of the third year.</w:t>
      </w:r>
    </w:p>
    <w:p>
      <w:pPr>
        <w:numPr>
          <w:ilvl w:val="0"/>
          <w:numId w:val="1002"/>
        </w:numPr>
        <w:pStyle w:val="Compact"/>
      </w:pPr>
      <w:r>
        <w:rPr>
          <w:bCs/>
          <w:b/>
        </w:rPr>
        <w:t xml:space="preserve">Termination:</w:t>
      </w:r>
      <w:r>
        <w:t xml:space="preserve"> </w:t>
      </w:r>
      <w:r>
        <w:t xml:space="preserve">Either party may terminate the engagement with a written notice of sixty (60) days. In the event of termination by the institution without cause, a severance payment equivalent to two (2) months' base salary shall be provided.</w:t>
      </w:r>
    </w:p>
    <w:p>
      <w:pPr>
        <w:numPr>
          <w:ilvl w:val="0"/>
          <w:numId w:val="1002"/>
        </w:numPr>
        <w:pStyle w:val="Compact"/>
      </w:pPr>
      <w:r>
        <w:rPr>
          <w:bCs/>
          <w:b/>
        </w:rPr>
        <w:t xml:space="preserve">Confidentiality:</w:t>
      </w:r>
      <w:r>
        <w:t xml:space="preserve"> </w:t>
      </w:r>
      <w:r>
        <w:t xml:space="preserve">All research data, unpublished manuscripts, and institutional intellectual property developed during the tenure of the University Lecturer shall remain the property of the institution in Turkey Istanbul, subject to standard academic publication rights.</w:t>
      </w:r>
    </w:p>
    <w:p>
      <w:pPr>
        <w:numPr>
          <w:ilvl w:val="0"/>
          <w:numId w:val="1002"/>
        </w:numPr>
        <w:pStyle w:val="Compact"/>
      </w:pPr>
      <w:r>
        <w:rPr>
          <w:bCs/>
          <w:b/>
        </w:rPr>
        <w:t xml:space="preserve">Work Permit:</w:t>
      </w:r>
      <w:r>
        <w:t xml:space="preserve"> </w:t>
      </w:r>
      <w:r>
        <w:t xml:space="preserve">The institution shall be responsible for obtaining and renewing the University Lecturer's work permit (Çalışma İzni) from the Turkish Ministry of Labor and Social Security. All associated government fees are included in the relocation package.</w:t>
      </w:r>
    </w:p>
    <w:p>
      <w:pPr>
        <w:pStyle w:val="FirstParagraph"/>
      </w:pPr>
      <w:r>
        <w:rPr>
          <w:bCs/>
          <w:b/>
        </w:rPr>
        <w:t xml:space="preserve">Important Note:</w:t>
      </w:r>
      <w:r>
        <w:t xml:space="preserve"> </w:t>
      </w:r>
      <w:r>
        <w:t xml:space="preserve">This Quotation Estimate is a non-binding financial projection prepared for budgetary planning purposes. Final compensation terms for the University Lecturer position shall be determined through a formal employment contract negotiated between the candidate and the institution in Turkey Istanbul, in compliance with the Turkish Higher Education Law (Law No. 2547) and the institution's internal academic regulations.</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representatives acknowledge that this Quotation Estimate has been reviewed and accepted for inclusion in the 2025–2026 academic budget allocation for the University Lecturer position in Turkey Istanbul.</w:t>
      </w:r>
    </w:p>
    <w:p>
      <w:pPr>
        <w:pStyle w:val="BodyText"/>
      </w:pPr>
      <w:r>
        <w:t xml:space="preserve">Prepared By:</w:t>
      </w:r>
    </w:p>
    <w:p>
      <w:pPr>
        <w:pStyle w:val="BodyText"/>
      </w:pPr>
      <w:r>
        <w:t xml:space="preserve">Academic Recruitment Division</w:t>
      </w:r>
      <w:r>
        <w:br/>
      </w:r>
      <w:r>
        <w:t xml:space="preserve">Istanbul Metropolitan Office</w:t>
      </w:r>
    </w:p>
    <w:p>
      <w:pPr>
        <w:pStyle w:val="BodyText"/>
      </w:pPr>
      <w:r>
        <w:t xml:space="preserve">Reviewed By:</w:t>
      </w:r>
    </w:p>
    <w:p>
      <w:pPr>
        <w:pStyle w:val="BodyText"/>
      </w:pPr>
      <w:r>
        <w:t xml:space="preserve">Dean, Faculty of Engineering</w:t>
      </w:r>
      <w:r>
        <w:br/>
      </w:r>
      <w:r>
        <w:t xml:space="preserve">Istanbul Technical University</w:t>
      </w:r>
    </w:p>
    <w:p>
      <w:pPr>
        <w:pStyle w:val="BodyText"/>
      </w:pPr>
      <w:r>
        <w:t xml:space="preserve">Approved By:</w:t>
      </w:r>
    </w:p>
    <w:p>
      <w:pPr>
        <w:pStyle w:val="BodyText"/>
      </w:pPr>
      <w:r>
        <w:t xml:space="preserve">University Senate Finance Committee</w:t>
      </w:r>
      <w:r>
        <w:br/>
      </w:r>
      <w:r>
        <w:t xml:space="preserve">Turkey Istanbul</w:t>
      </w:r>
    </w:p>
    <w:p>
      <w:pPr>
        <w:pStyle w:val="BodyText"/>
      </w:pPr>
      <w:r>
        <w:t xml:space="preserve">Quotation Estimate QE-IST-2025-0472 — University Lecturer Engagement — Turkey Istanbul</w:t>
      </w:r>
      <w:r>
        <w:br/>
      </w:r>
      <w:r>
        <w:t xml:space="preserve">This document is confidential and intended solely for the use of the named institution. Unauthorized distribution is prohibited.</w:t>
      </w:r>
      <w:r>
        <w:br/>
      </w:r>
      <w:r>
        <w:t xml:space="preserve">© 2025 Academic Recruitment &amp; Placement Division.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Turkey Istanbul</dc:title>
  <dc:creator/>
  <dc:language>en</dc:language>
  <cp:keywords/>
  <dcterms:created xsi:type="dcterms:W3CDTF">2026-10-10T01:56:44Z</dcterms:created>
  <dcterms:modified xsi:type="dcterms:W3CDTF">2026-10-10T01:56:44Z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