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Engagement of a University Lecturer – United Kingdom London</w:t>
      </w:r>
    </w:p>
    <w:p>
      <w:pPr>
        <w:pStyle w:val="BodyText"/>
      </w:pPr>
      <w:r>
        <w:t xml:space="preserve">Ref: QE-UKL-2025-0047 | Document Classification: Commercial</w:t>
      </w:r>
    </w:p>
    <w:bookmarkEnd w:id="20"/>
    <w:p>
      <w:pPr>
        <w:pStyle w:val="BodyText"/>
      </w:pPr>
      <w:r>
        <w:rPr>
          <w:bCs/>
          <w:b/>
        </w:rPr>
        <w:t xml:space="preserve">Prepared By:</w:t>
      </w:r>
      <w:r>
        <w:t xml:space="preserve"> </w:t>
      </w:r>
      <w:r>
        <w:t xml:space="preserve">Academic Recruitment &amp; Consultancy Services Ltd.</w:t>
      </w:r>
      <w:r>
        <w:br/>
      </w:r>
      <w:r>
        <w:t xml:space="preserve">128 Chancery Lane, London WC2A 1AB, United Kingdom</w:t>
      </w:r>
      <w:r>
        <w:br/>
      </w:r>
      <w:r>
        <w:t xml:space="preserve">Tel: +44 (0)20 7946 0832 | Email: enquiries@arcs-uk.co.uk</w:t>
      </w:r>
    </w:p>
    <w:p>
      <w:pPr>
        <w:pStyle w:val="BodyText"/>
      </w:pPr>
      <w:r>
        <w:rPr>
          <w:bCs/>
          <w:b/>
        </w:rPr>
        <w:t xml:space="preserve">Date of Issue:</w:t>
      </w:r>
      <w:r>
        <w:t xml:space="preserve"> </w:t>
      </w:r>
      <w:r>
        <w:t xml:space="preserve">14 June 2025</w:t>
      </w:r>
      <w:r>
        <w:br/>
      </w:r>
      <w:r>
        <w:rPr>
          <w:bCs/>
          <w:b/>
        </w:rPr>
        <w:t xml:space="preserve">Quotation Valid Until:</w:t>
      </w:r>
      <w:r>
        <w:t xml:space="preserve"> </w:t>
      </w:r>
      <w:r>
        <w:t xml:space="preserve">14 September 2025</w:t>
      </w:r>
      <w:r>
        <w:br/>
      </w:r>
      <w:r>
        <w:rPr>
          <w:bCs/>
          <w:b/>
        </w:rPr>
        <w:t xml:space="preserve">Prepared For:</w:t>
      </w:r>
      <w:r>
        <w:t xml:space="preserve"> </w:t>
      </w:r>
      <w:r>
        <w:t xml:space="preserve">[Client Institution Name]</w:t>
      </w:r>
      <w:r>
        <w:br/>
      </w:r>
      <w:r>
        <w:rPr>
          <w:bCs/>
          <w:b/>
        </w:rPr>
        <w:t xml:space="preserve">Location of Engagement:</w:t>
      </w:r>
      <w:r>
        <w:t xml:space="preserve"> </w:t>
      </w:r>
      <w:r>
        <w:t xml:space="preserve">United Kingdom London</w:t>
      </w:r>
    </w:p>
    <w:bookmarkStart w:id="21" w:name="X0c7581080508d578c26b6d8dfd726c7e3ca5cc9"/>
    <w:p>
      <w:pPr>
        <w:pStyle w:val="Heading2"/>
      </w:pPr>
      <w:r>
        <w:t xml:space="preserve">1. Purpose and Scope of This Quotation Estimate</w:t>
      </w:r>
    </w:p>
    <w:p>
      <w:pPr>
        <w:pStyle w:val="FirstParagraph"/>
      </w:pPr>
      <w:r>
        <w:t xml:space="preserve">This Quotation Estimate has been prepared in response to the formal request submitted by the client institution for the professional engagement of a</w:t>
      </w:r>
      <w:r>
        <w:t xml:space="preserve"> </w:t>
      </w:r>
      <w:r>
        <w:t xml:space="preserve">University Lecturer</w:t>
      </w:r>
      <w:r>
        <w:t xml:space="preserve"> </w:t>
      </w:r>
      <w:r>
        <w:t xml:space="preserve">to deliver academic instruction, supervise postgraduate research, and contribute to departmental scholarship within the metropolitan area of</w:t>
      </w:r>
      <w:r>
        <w:t xml:space="preserve"> </w:t>
      </w:r>
      <w:r>
        <w:t xml:space="preserve">United Kingdom London</w:t>
      </w:r>
      <w:r>
        <w:t xml:space="preserve">. The scope of this document encompasses all anticipated costs, deliverables, and professional obligations associated with the recruitment, onboarding, and ongoing academic engagement of a suitably qualified University Lecturer for the academic year 2025/2026.</w:t>
      </w:r>
    </w:p>
    <w:p>
      <w:pPr>
        <w:pStyle w:val="BodyText"/>
      </w:pPr>
      <w:r>
        <w:t xml:space="preserve">The University Lecturer position described herein is intended to align with the national academic framework of the United Kingdom, specifically meeting the criteria set out by the Higher Education Academy (HEA) and the relevant professional standards governing academic staff at Russell Group and post-1992 institutions operating in London. All fee structures presented in this Quotation Estimate are calculated in British Pounds Sterling (GBP) and are subject to the prevailing tax regulations of the United Kingdom.</w:t>
      </w:r>
    </w:p>
    <w:bookmarkEnd w:id="21"/>
    <w:bookmarkStart w:id="24" w:name="X0d0f1186b38ebd35f86e2aa6b0a34250b68e32c"/>
    <w:p>
      <w:pPr>
        <w:pStyle w:val="Heading2"/>
      </w:pPr>
      <w:r>
        <w:t xml:space="preserve">2. Position Specification – University Lecturer</w:t>
      </w:r>
    </w:p>
    <w:bookmarkStart w:id="22" w:name="role-overview"/>
    <w:p>
      <w:pPr>
        <w:pStyle w:val="Heading3"/>
      </w:pPr>
      <w:r>
        <w:t xml:space="preserve">2.1 Role Overview</w:t>
      </w:r>
    </w:p>
    <w:p>
      <w:pPr>
        <w:pStyle w:val="FirstParagraph"/>
      </w:pPr>
      <w:r>
        <w:t xml:space="preserve">The University Lecturer shall be responsible for the design, delivery, and continuous improvement of undergraduate and postgraduate teaching modules within the Faculty of [Subject Area]. The role requires a minimum of a PhD or equivalent terminal qualification, a proven track record of peer-reviewed publication, and demonstrable experience in higher education within the United Kingdom. The University Lecturer will be based at the client's primary campus in United Kingdom London, with the expectation of attending departmental meetings, examination boards, and academic governance sessions in person.</w:t>
      </w:r>
    </w:p>
    <w:bookmarkEnd w:id="22"/>
    <w:bookmarkStart w:id="23" w:name="key-responsibilities"/>
    <w:p>
      <w:pPr>
        <w:pStyle w:val="Heading3"/>
      </w:pPr>
      <w:r>
        <w:t xml:space="preserve">2.2 Key Responsibilities</w:t>
      </w:r>
    </w:p>
    <w:p>
      <w:pPr>
        <w:numPr>
          <w:ilvl w:val="0"/>
          <w:numId w:val="1001"/>
        </w:numPr>
        <w:pStyle w:val="Compact"/>
      </w:pPr>
      <w:r>
        <w:t xml:space="preserve">Delivery of a minimum of 180 contact hours of teaching per academic year across two semesters.</w:t>
      </w:r>
    </w:p>
    <w:p>
      <w:pPr>
        <w:numPr>
          <w:ilvl w:val="0"/>
          <w:numId w:val="1001"/>
        </w:numPr>
        <w:pStyle w:val="Compact"/>
      </w:pPr>
      <w:r>
        <w:t xml:space="preserve">Supervision of up to six (6) postgraduate research students (MPhil/PhD) per annum.</w:t>
      </w:r>
    </w:p>
    <w:p>
      <w:pPr>
        <w:numPr>
          <w:ilvl w:val="0"/>
          <w:numId w:val="1001"/>
        </w:numPr>
        <w:pStyle w:val="Compact"/>
      </w:pPr>
      <w:r>
        <w:t xml:space="preserve">Contribution to curriculum development, module accreditation, and quality assurance processes.</w:t>
      </w:r>
    </w:p>
    <w:p>
      <w:pPr>
        <w:numPr>
          <w:ilvl w:val="0"/>
          <w:numId w:val="1001"/>
        </w:numPr>
        <w:pStyle w:val="Compact"/>
      </w:pPr>
      <w:r>
        <w:t xml:space="preserve">Active participation in the research output of the department, including a minimum of three (3) peer-reviewed publications per year.</w:t>
      </w:r>
    </w:p>
    <w:p>
      <w:pPr>
        <w:numPr>
          <w:ilvl w:val="0"/>
          <w:numId w:val="1001"/>
        </w:numPr>
        <w:pStyle w:val="Compact"/>
      </w:pPr>
      <w:r>
        <w:t xml:space="preserve">Engagement with the wider academic community in United Kingdom London through conference presentations, guest lectures, and collaborative research partnerships.</w:t>
      </w:r>
    </w:p>
    <w:p>
      <w:pPr>
        <w:numPr>
          <w:ilvl w:val="0"/>
          <w:numId w:val="1001"/>
        </w:numPr>
        <w:pStyle w:val="Compact"/>
      </w:pPr>
      <w:r>
        <w:t xml:space="preserve">Mentoring of early-career academic staff and support for student pastoral welfare in accordance with institutional policy.</w:t>
      </w:r>
    </w:p>
    <w:bookmarkEnd w:id="23"/>
    <w:bookmarkEnd w:id="24"/>
    <w:bookmarkStart w:id="25" w:name="fee-structure-and-cost-breakdown"/>
    <w:p>
      <w:pPr>
        <w:pStyle w:val="Heading2"/>
      </w:pPr>
      <w:r>
        <w:t xml:space="preserve">3. Fee Structure and Cost Breakdown</w:t>
      </w:r>
    </w:p>
    <w:p>
      <w:pPr>
        <w:pStyle w:val="FirstParagraph"/>
      </w:pPr>
      <w:r>
        <w:t xml:space="preserve">The following Quotation Estimate itemises all costs associated with the engagement of the University Lecturer. All figures are exclusive of Value Added Tax (VAT) at the standard rate of 20% unless otherwise stated.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Cost Element</w:t>
            </w:r>
          </w:p>
        </w:tc>
        <w:tc>
          <w:tcPr/>
          <w:p>
            <w:pPr>
              <w:pStyle w:val="Compact"/>
              <w:jc w:val="left"/>
            </w:pPr>
            <w:r>
              <w:t xml:space="preserve">Unit</w:t>
            </w:r>
          </w:p>
        </w:tc>
        <w:tc>
          <w:tcPr/>
          <w:p>
            <w:pPr>
              <w:pStyle w:val="Compact"/>
              <w:jc w:val="left"/>
            </w:pPr>
            <w:r>
              <w:t xml:space="preserve">Rate (GBP)</w:t>
            </w:r>
          </w:p>
        </w:tc>
        <w:tc>
          <w:tcPr/>
          <w:p>
            <w:pPr>
              <w:pStyle w:val="Compact"/>
              <w:jc w:val="left"/>
            </w:pPr>
            <w:r>
              <w:t xml:space="preserve">Quantity</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Annual Gross Salary – University Lecturer (Grade 7, London Weighting included)</w:t>
            </w:r>
          </w:p>
        </w:tc>
        <w:tc>
          <w:tcPr/>
          <w:p>
            <w:pPr>
              <w:pStyle w:val="Compact"/>
              <w:jc w:val="left"/>
            </w:pPr>
            <w:r>
              <w:t xml:space="preserve">Year</w:t>
            </w:r>
          </w:p>
        </w:tc>
        <w:tc>
          <w:tcPr/>
          <w:p>
            <w:pPr>
              <w:pStyle w:val="Compact"/>
              <w:jc w:val="left"/>
            </w:pPr>
            <w:r>
              <w:t xml:space="preserve">£52,400.00</w:t>
            </w:r>
          </w:p>
        </w:tc>
        <w:tc>
          <w:tcPr/>
          <w:p>
            <w:pPr>
              <w:pStyle w:val="Compact"/>
              <w:jc w:val="left"/>
            </w:pPr>
            <w:r>
              <w:t xml:space="preserve">1</w:t>
            </w:r>
          </w:p>
        </w:tc>
        <w:tc>
          <w:tcPr/>
          <w:p>
            <w:pPr>
              <w:pStyle w:val="Compact"/>
              <w:jc w:val="left"/>
            </w:pPr>
            <w:r>
              <w:t xml:space="preserve">£52,400.00</w:t>
            </w:r>
          </w:p>
        </w:tc>
      </w:tr>
      <w:tr>
        <w:tc>
          <w:tcPr/>
          <w:p>
            <w:pPr>
              <w:pStyle w:val="Compact"/>
              <w:jc w:val="left"/>
            </w:pPr>
            <w:r>
              <w:t xml:space="preserve">02</w:t>
            </w:r>
          </w:p>
        </w:tc>
        <w:tc>
          <w:tcPr/>
          <w:p>
            <w:pPr>
              <w:pStyle w:val="Compact"/>
              <w:jc w:val="left"/>
            </w:pPr>
            <w:r>
              <w:t xml:space="preserve">London Allowance (Outer London Weighting, 2025/26 scale)</w:t>
            </w:r>
          </w:p>
        </w:tc>
        <w:tc>
          <w:tcPr/>
          <w:p>
            <w:pPr>
              <w:pStyle w:val="Compact"/>
              <w:jc w:val="left"/>
            </w:pPr>
            <w:r>
              <w:t xml:space="preserve">Year</w:t>
            </w:r>
          </w:p>
        </w:tc>
        <w:tc>
          <w:tcPr/>
          <w:p>
            <w:pPr>
              <w:pStyle w:val="Compact"/>
              <w:jc w:val="left"/>
            </w:pPr>
            <w:r>
              <w:t xml:space="preserve">£3,850.00</w:t>
            </w:r>
          </w:p>
        </w:tc>
        <w:tc>
          <w:tcPr/>
          <w:p>
            <w:pPr>
              <w:pStyle w:val="Compact"/>
              <w:jc w:val="left"/>
            </w:pPr>
            <w:r>
              <w:t xml:space="preserve">1</w:t>
            </w:r>
          </w:p>
        </w:tc>
        <w:tc>
          <w:tcPr/>
          <w:p>
            <w:pPr>
              <w:pStyle w:val="Compact"/>
              <w:jc w:val="left"/>
            </w:pPr>
            <w:r>
              <w:t xml:space="preserve">£3,850.00</w:t>
            </w:r>
          </w:p>
        </w:tc>
      </w:tr>
      <w:tr>
        <w:tc>
          <w:tcPr/>
          <w:p>
            <w:pPr>
              <w:pStyle w:val="Compact"/>
              <w:jc w:val="left"/>
            </w:pPr>
            <w:r>
              <w:t xml:space="preserve">03</w:t>
            </w:r>
          </w:p>
        </w:tc>
        <w:tc>
          <w:tcPr/>
          <w:p>
            <w:pPr>
              <w:pStyle w:val="Compact"/>
              <w:jc w:val="left"/>
            </w:pPr>
            <w:r>
              <w:t xml:space="preserve">Employer's National Insurance Contributions (13.8%)</w:t>
            </w:r>
          </w:p>
        </w:tc>
        <w:tc>
          <w:tcPr/>
          <w:p>
            <w:pPr>
              <w:pStyle w:val="Compact"/>
              <w:jc w:val="left"/>
            </w:pPr>
            <w:r>
              <w:t xml:space="preserve">Year</w:t>
            </w:r>
          </w:p>
        </w:tc>
        <w:tc>
          <w:tcPr/>
          <w:p>
            <w:pPr>
              <w:pStyle w:val="Compact"/>
              <w:jc w:val="left"/>
            </w:pPr>
            <w:r>
              <w:t xml:space="preserve">£7,918.00</w:t>
            </w:r>
          </w:p>
        </w:tc>
        <w:tc>
          <w:tcPr/>
          <w:p>
            <w:pPr>
              <w:pStyle w:val="Compact"/>
              <w:jc w:val="left"/>
            </w:pPr>
            <w:r>
              <w:t xml:space="preserve">1</w:t>
            </w:r>
          </w:p>
        </w:tc>
        <w:tc>
          <w:tcPr/>
          <w:p>
            <w:pPr>
              <w:pStyle w:val="Compact"/>
              <w:jc w:val="left"/>
            </w:pPr>
            <w:r>
              <w:t xml:space="preserve">£7,918.00</w:t>
            </w:r>
          </w:p>
        </w:tc>
      </w:tr>
      <w:tr>
        <w:tc>
          <w:tcPr/>
          <w:p>
            <w:pPr>
              <w:pStyle w:val="Compact"/>
              <w:jc w:val="left"/>
            </w:pPr>
            <w:r>
              <w:t xml:space="preserve">04</w:t>
            </w:r>
          </w:p>
        </w:tc>
        <w:tc>
          <w:tcPr/>
          <w:p>
            <w:pPr>
              <w:pStyle w:val="Compact"/>
              <w:jc w:val="left"/>
            </w:pPr>
            <w:r>
              <w:t xml:space="preserve">Pension Contributions (Employer, 2025/26 rate of 22.7%)</w:t>
            </w:r>
          </w:p>
        </w:tc>
        <w:tc>
          <w:tcPr/>
          <w:p>
            <w:pPr>
              <w:pStyle w:val="Compact"/>
              <w:jc w:val="left"/>
            </w:pPr>
            <w:r>
              <w:t xml:space="preserve">Year</w:t>
            </w:r>
          </w:p>
        </w:tc>
        <w:tc>
          <w:tcPr/>
          <w:p>
            <w:pPr>
              <w:pStyle w:val="Compact"/>
              <w:jc w:val="left"/>
            </w:pPr>
            <w:r>
              <w:t xml:space="preserve">£13,125.00</w:t>
            </w:r>
          </w:p>
        </w:tc>
        <w:tc>
          <w:tcPr/>
          <w:p>
            <w:pPr>
              <w:pStyle w:val="Compact"/>
              <w:jc w:val="left"/>
            </w:pPr>
            <w:r>
              <w:t xml:space="preserve">1</w:t>
            </w:r>
          </w:p>
        </w:tc>
        <w:tc>
          <w:tcPr/>
          <w:p>
            <w:pPr>
              <w:pStyle w:val="Compact"/>
              <w:jc w:val="left"/>
            </w:pPr>
            <w:r>
              <w:t xml:space="preserve">£13,125.00</w:t>
            </w:r>
          </w:p>
        </w:tc>
      </w:tr>
      <w:tr>
        <w:tc>
          <w:tcPr/>
          <w:p>
            <w:pPr>
              <w:pStyle w:val="Compact"/>
              <w:jc w:val="left"/>
            </w:pPr>
            <w:r>
              <w:t xml:space="preserve">05</w:t>
            </w:r>
          </w:p>
        </w:tc>
        <w:tc>
          <w:tcPr/>
          <w:p>
            <w:pPr>
              <w:pStyle w:val="Compact"/>
              <w:jc w:val="left"/>
            </w:pPr>
            <w:r>
              <w:t xml:space="preserve">Recruitment and Sourcing Fee (Academic Consultancy)</w:t>
            </w:r>
          </w:p>
        </w:tc>
        <w:tc>
          <w:tcPr/>
          <w:p>
            <w:pPr>
              <w:pStyle w:val="Compact"/>
              <w:jc w:val="left"/>
            </w:pPr>
            <w:r>
              <w:t xml:space="preserve">One-off</w:t>
            </w:r>
          </w:p>
        </w:tc>
        <w:tc>
          <w:tcPr/>
          <w:p>
            <w:pPr>
              <w:pStyle w:val="Compact"/>
              <w:jc w:val="left"/>
            </w:pPr>
            <w:r>
              <w:t xml:space="preserve">£4,200.00</w:t>
            </w:r>
          </w:p>
        </w:tc>
        <w:tc>
          <w:tcPr/>
          <w:p>
            <w:pPr>
              <w:pStyle w:val="Compact"/>
              <w:jc w:val="left"/>
            </w:pPr>
            <w:r>
              <w:t xml:space="preserve">1</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Right to Work Verification and Visa Sponsorship (if applicable)</w:t>
            </w:r>
          </w:p>
        </w:tc>
        <w:tc>
          <w:tcPr/>
          <w:p>
            <w:pPr>
              <w:pStyle w:val="Compact"/>
              <w:jc w:val="left"/>
            </w:pPr>
            <w:r>
              <w:t xml:space="preserve">One-off</w:t>
            </w:r>
          </w:p>
        </w:tc>
        <w:tc>
          <w:tcPr/>
          <w:p>
            <w:pPr>
              <w:pStyle w:val="Compact"/>
              <w:jc w:val="left"/>
            </w:pPr>
            <w:r>
              <w:t xml:space="preserve">£1,150.00</w:t>
            </w:r>
          </w:p>
        </w:tc>
        <w:tc>
          <w:tcPr/>
          <w:p>
            <w:pPr>
              <w:pStyle w:val="Compact"/>
              <w:jc w:val="left"/>
            </w:pPr>
            <w:r>
              <w:t xml:space="preserve">1</w:t>
            </w:r>
          </w:p>
        </w:tc>
        <w:tc>
          <w:tcPr/>
          <w:p>
            <w:pPr>
              <w:pStyle w:val="Compact"/>
              <w:jc w:val="left"/>
            </w:pPr>
            <w:r>
              <w:t xml:space="preserve">£1,150.00</w:t>
            </w:r>
          </w:p>
        </w:tc>
      </w:tr>
      <w:tr>
        <w:tc>
          <w:tcPr/>
          <w:p>
            <w:pPr>
              <w:pStyle w:val="Compact"/>
              <w:jc w:val="left"/>
            </w:pPr>
            <w:r>
              <w:t xml:space="preserve">07</w:t>
            </w:r>
          </w:p>
        </w:tc>
        <w:tc>
          <w:tcPr/>
          <w:p>
            <w:pPr>
              <w:pStyle w:val="Compact"/>
              <w:jc w:val="left"/>
            </w:pPr>
            <w:r>
              <w:t xml:space="preserve">Induction, HEA Accreditation Support, and Onboarding Programme</w:t>
            </w:r>
          </w:p>
        </w:tc>
        <w:tc>
          <w:tcPr/>
          <w:p>
            <w:pPr>
              <w:pStyle w:val="Compact"/>
              <w:jc w:val="left"/>
            </w:pPr>
            <w:r>
              <w:t xml:space="preserve">One-off</w:t>
            </w:r>
          </w:p>
        </w:tc>
        <w:tc>
          <w:tcPr/>
          <w:p>
            <w:pPr>
              <w:pStyle w:val="Compact"/>
              <w:jc w:val="left"/>
            </w:pPr>
            <w:r>
              <w:t xml:space="preserve">£2,300.00</w:t>
            </w:r>
          </w:p>
        </w:tc>
        <w:tc>
          <w:tcPr/>
          <w:p>
            <w:pPr>
              <w:pStyle w:val="Compact"/>
              <w:jc w:val="left"/>
            </w:pPr>
            <w:r>
              <w:t xml:space="preserve">1</w:t>
            </w:r>
          </w:p>
        </w:tc>
        <w:tc>
          <w:tcPr/>
          <w:p>
            <w:pPr>
              <w:pStyle w:val="Compact"/>
              <w:jc w:val="left"/>
            </w:pPr>
            <w:r>
              <w:t xml:space="preserve">£2,300.00</w:t>
            </w:r>
          </w:p>
        </w:tc>
      </w:tr>
      <w:tr>
        <w:tc>
          <w:tcPr/>
          <w:p>
            <w:pPr>
              <w:pStyle w:val="Compact"/>
              <w:jc w:val="left"/>
            </w:pPr>
            <w:r>
              <w:t xml:space="preserve">08</w:t>
            </w:r>
          </w:p>
        </w:tc>
        <w:tc>
          <w:tcPr/>
          <w:p>
            <w:pPr>
              <w:pStyle w:val="Compact"/>
              <w:jc w:val="left"/>
            </w:pPr>
            <w:r>
              <w:t xml:space="preserve">Annual Professional Development and Conference Subsidy</w:t>
            </w:r>
          </w:p>
        </w:tc>
        <w:tc>
          <w:tcPr/>
          <w:p>
            <w:pPr>
              <w:pStyle w:val="Compact"/>
              <w:jc w:val="left"/>
            </w:pPr>
            <w:r>
              <w:t xml:space="preserve">Year</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09</w:t>
            </w:r>
          </w:p>
        </w:tc>
        <w:tc>
          <w:tcPr/>
          <w:p>
            <w:pPr>
              <w:pStyle w:val="Compact"/>
              <w:jc w:val="left"/>
            </w:pPr>
            <w:r>
              <w:t xml:space="preserve">Research Grant Administration and Lab Access (estimated)</w:t>
            </w:r>
          </w:p>
        </w:tc>
        <w:tc>
          <w:tcPr/>
          <w:p>
            <w:pPr>
              <w:pStyle w:val="Compact"/>
              <w:jc w:val="left"/>
            </w:pPr>
            <w:r>
              <w:t xml:space="preserve">Year</w:t>
            </w:r>
          </w:p>
        </w:tc>
        <w:tc>
          <w:tcPr/>
          <w:p>
            <w:pPr>
              <w:pStyle w:val="Compact"/>
              <w:jc w:val="left"/>
            </w:pPr>
            <w:r>
              <w:t xml:space="preserve">£3,000.00</w:t>
            </w:r>
          </w:p>
        </w:tc>
        <w:tc>
          <w:tcPr/>
          <w:p>
            <w:pPr>
              <w:pStyle w:val="Compact"/>
              <w:jc w:val="left"/>
            </w:pPr>
            <w:r>
              <w:t xml:space="preserve">1</w:t>
            </w:r>
          </w:p>
        </w:tc>
        <w:tc>
          <w:tcPr/>
          <w:p>
            <w:pPr>
              <w:pStyle w:val="Compact"/>
              <w:jc w:val="left"/>
            </w:pPr>
            <w:r>
              <w:t xml:space="preserve">£3,000.00</w:t>
            </w:r>
          </w:p>
        </w:tc>
      </w:tr>
      <w:tr>
        <w:tc>
          <w:tcPr/>
          <w:p>
            <w:pPr>
              <w:pStyle w:val="Compact"/>
              <w:jc w:val="left"/>
            </w:pPr>
            <w:r>
              <w:t xml:space="preserve">10</w:t>
            </w:r>
          </w:p>
        </w:tc>
        <w:tc>
          <w:tcPr/>
          <w:p>
            <w:pPr>
              <w:pStyle w:val="Compact"/>
              <w:jc w:val="left"/>
            </w:pPr>
            <w:r>
              <w:t xml:space="preserve">Liability Insurance and Professional Indemnity Cover</w:t>
            </w:r>
          </w:p>
        </w:tc>
        <w:tc>
          <w:tcPr/>
          <w:p>
            <w:pPr>
              <w:pStyle w:val="Compact"/>
              <w:jc w:val="left"/>
            </w:pPr>
            <w:r>
              <w:t xml:space="preserve">Year</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w:t>
            </w:r>
          </w:p>
        </w:tc>
      </w:tr>
      <w:tr>
        <w:tc>
          <w:tcPr>
            <w:gridSpan w:val="5"/>
          </w:tcPr>
          <w:p>
            <w:pPr>
              <w:pStyle w:val="Compact"/>
              <w:jc w:val="left"/>
            </w:pPr>
            <w:r>
              <w:t xml:space="preserve">Subtotal (Excluding VAT)</w:t>
            </w:r>
          </w:p>
        </w:tc>
        <w:tc>
          <w:tcPr/>
          <w:p>
            <w:pPr>
              <w:pStyle w:val="Compact"/>
              <w:jc w:val="left"/>
            </w:pPr>
            <w:r>
              <w:t xml:space="preserve">£90,293.00</w:t>
            </w:r>
          </w:p>
        </w:tc>
      </w:tr>
      <w:tr>
        <w:tc>
          <w:tcPr>
            <w:gridSpan w:val="5"/>
          </w:tcPr>
          <w:p>
            <w:pPr>
              <w:pStyle w:val="Compact"/>
              <w:jc w:val="left"/>
            </w:pPr>
            <w:r>
              <w:t xml:space="preserve">VAT @ 20% (where applicable to consultancy items)</w:t>
            </w:r>
          </w:p>
        </w:tc>
        <w:tc>
          <w:tcPr/>
          <w:p>
            <w:pPr>
              <w:pStyle w:val="Compact"/>
              <w:jc w:val="left"/>
            </w:pPr>
            <w:r>
              <w:t xml:space="preserve">£1,090.00</w:t>
            </w:r>
          </w:p>
        </w:tc>
      </w:tr>
      <w:tr>
        <w:tc>
          <w:tcPr>
            <w:gridSpan w:val="5"/>
          </w:tcPr>
          <w:p>
            <w:pPr>
              <w:pStyle w:val="Compact"/>
              <w:jc w:val="left"/>
            </w:pPr>
            <w:r>
              <w:rPr>
                <w:bCs/>
                <w:b/>
              </w:rPr>
              <w:t xml:space="preserve">TOTAL ESTIMATED COST (Including VAT)</w:t>
            </w:r>
          </w:p>
        </w:tc>
        <w:tc>
          <w:tcPr/>
          <w:p>
            <w:pPr>
              <w:pStyle w:val="Compact"/>
              <w:jc w:val="left"/>
            </w:pPr>
            <w:r>
              <w:rPr>
                <w:bCs/>
                <w:b/>
              </w:rPr>
              <w:t xml:space="preserve">£91,383.00</w:t>
            </w:r>
          </w:p>
        </w:tc>
      </w:tr>
    </w:tbl>
    <w:bookmarkEnd w:id="25"/>
    <w:bookmarkStart w:id="26"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remains valid for a period of ninety (90) calendar days from the date of issue. Should the client wish to proceed beyond this period, a revised Quotation Estimate reflecting any changes in salary scales, London weighting adjustments, or regulatory requirements in the United Kingdom will be issued at no additional charge.</w:t>
      </w:r>
    </w:p>
    <w:p>
      <w:pPr>
        <w:pStyle w:val="BodyText"/>
      </w:pPr>
      <w:r>
        <w:rPr>
          <w:bCs/>
          <w:b/>
        </w:rPr>
        <w:t xml:space="preserve">4.2 Payment Terms:</w:t>
      </w:r>
      <w:r>
        <w:t xml:space="preserve"> </w:t>
      </w:r>
      <w:r>
        <w:t xml:space="preserve">The recruitment and sourcing fee (Item 05) is payable within fourteen (14) days of the successful candidate's acceptance of the University Lecturer appointment. All recurring annual costs (Items 01–04, 08–10) shall be settled in accordance with the client institution's standard payroll and accounts payable cycles.</w:t>
      </w:r>
    </w:p>
    <w:p>
      <w:pPr>
        <w:pStyle w:val="BodyText"/>
      </w:pPr>
      <w:r>
        <w:rPr>
          <w:bCs/>
          <w:b/>
        </w:rPr>
        <w:t xml:space="preserve">4.3 Location and Mobility:</w:t>
      </w:r>
      <w:r>
        <w:t xml:space="preserve"> </w:t>
      </w:r>
      <w:r>
        <w:t xml:space="preserve">The University Lecturer is expected to be physically present at the designated campus in United Kingdom London for a minimum of four (4) days per week. Remote working arrangements, where permitted by the institution, shall not exceed one (1) day per week and are subject to prior written approval.</w:t>
      </w:r>
    </w:p>
    <w:p>
      <w:pPr>
        <w:pStyle w:val="BodyText"/>
      </w:pPr>
      <w:r>
        <w:rPr>
          <w:bCs/>
          <w:b/>
        </w:rPr>
        <w:t xml:space="preserve">4.4 Regulatory Compliance:</w:t>
      </w:r>
      <w:r>
        <w:t xml:space="preserve"> </w:t>
      </w:r>
      <w:r>
        <w:t xml:space="preserve">All aspects of this engagement shall comply with the Equality Act 2010, the UK General Data Protection Regulation (UK GDPR), the Higher Education and Research Act 2017, and all applicable employment legislation in force in the United Kingdom at the time of engagement.</w:t>
      </w:r>
    </w:p>
    <w:p>
      <w:pPr>
        <w:pStyle w:val="BodyText"/>
      </w:pPr>
      <w:r>
        <w:rPr>
          <w:bCs/>
          <w:b/>
        </w:rPr>
        <w:t xml:space="preserve">4.5 Cancellation and Termination:</w:t>
      </w:r>
      <w:r>
        <w:t xml:space="preserve"> </w:t>
      </w:r>
      <w:r>
        <w:t xml:space="preserve">In the event that the client cancels this Quotation Estimate prior to the commencement of the University Lecturer's contract, a non-refundable administrative fee of £1,500.00 shall be retained. Post-commencement, termination shall be governed by the terms of the employment contract and applicable UK employment law.</w:t>
      </w:r>
    </w:p>
    <w:p>
      <w:pPr>
        <w:pStyle w:val="BodyText"/>
      </w:pPr>
      <w:r>
        <w:rPr>
          <w:bCs/>
          <w:b/>
        </w:rPr>
        <w:t xml:space="preserve">4.6 Dispute Resolution:</w:t>
      </w:r>
      <w:r>
        <w:t xml:space="preserve"> </w:t>
      </w:r>
      <w:r>
        <w:t xml:space="preserve">Any disputes arising from this Quotation Estimate shall be resolved through negotiation in good faith. Failing resolution, matters shall be referred to the courts of England and Wales, and the governing law shall be that of the United Kingdom.</w:t>
      </w:r>
    </w:p>
    <w:bookmarkEnd w:id="26"/>
    <w:bookmarkStart w:id="27" w:name="acceptance-and-authorisation"/>
    <w:p>
      <w:pPr>
        <w:pStyle w:val="Heading2"/>
      </w:pPr>
      <w:r>
        <w:t xml:space="preserve">5. Acceptance and Authorisation</w:t>
      </w:r>
    </w:p>
    <w:p>
      <w:pPr>
        <w:pStyle w:val="FirstParagraph"/>
      </w:pPr>
      <w:r>
        <w:t xml:space="preserve">By signing below, the client acknowledges that this Quotation Estimate has been reviewed in its entirety and that the terms, conditions, and cost projections set forth herein are accepted for the engagement of the University Lecturer in United Kingdom London for the academic year 2025/2026.</w:t>
      </w:r>
    </w:p>
    <w:p>
      <w:pPr>
        <w:pStyle w:val="BodyText"/>
      </w:pPr>
      <w:r>
        <w:rPr>
          <w:bCs/>
          <w:b/>
        </w:rPr>
        <w:t xml:space="preserve">For and on behalf of the Client Institution:</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Academic Recruitment &amp; Consultancy Services Ltd.:</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bookmarkEnd w:id="27"/>
    <w:p>
      <w:pPr>
        <w:pStyle w:val="BodyText"/>
      </w:pPr>
      <w:r>
        <w:rPr>
          <w:bCs/>
          <w:b/>
        </w:rPr>
        <w:t xml:space="preserve">Important Note:</w:t>
      </w:r>
      <w:r>
        <w:t xml:space="preserve"> </w:t>
      </w:r>
      <w:r>
        <w:t xml:space="preserve">This Quotation Estimate is a commercial document and does not constitute an offer of employment. The final terms of the University Lecturer's engagement will be set out in a separate written contract of employment issued by the client institution in accordance with UK employment law. Salary figures are indicative and subject to confirmation against the relevant pay scale (e.g., Agenda for Change, London Weighted Scales) applicable at the date of appointment.</w:t>
      </w:r>
    </w:p>
    <w:p>
      <w:pPr>
        <w:pStyle w:val="BodyText"/>
      </w:pPr>
      <w:r>
        <w:t xml:space="preserve">Academic Recruitment &amp; Consultancy Services Ltd. | Registered in England &amp; Wales No. 09876543 | VAT No. GB 123 4567 89</w:t>
      </w:r>
    </w:p>
    <w:p>
      <w:pPr>
        <w:pStyle w:val="BodyText"/>
      </w:pPr>
      <w:r>
        <w:t xml:space="preserve">128 Chancery Lane, London WC2A 1AB, United Kingdom | This Quotation Estimate is the property of the issuing firm and may not be reproduced without written consent.</w:t>
      </w:r>
    </w:p>
    <w:p>
      <w:pPr>
        <w:pStyle w:val="BodyText"/>
      </w:pPr>
      <w:r>
        <w:t xml:space="preserve">Document Ref: QE-UKL-2025-0047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United Kingdom London</dc:title>
  <dc:creator/>
  <dc:language>en-GB</dc:language>
  <cp:keywords/>
  <dcterms:created xsi:type="dcterms:W3CDTF">2026-10-10T03:18:08Z</dcterms:created>
  <dcterms:modified xsi:type="dcterms:W3CDTF">2026-10-10T03:18:08Z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