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a11029269f08db74b1491def968878d80284daf"/>
    <w:p>
      <w:pPr>
        <w:pStyle w:val="Heading1"/>
      </w:pPr>
      <w:r>
        <w:t xml:space="preserve">Rice University – Office of Academic Procurement</w:t>
      </w:r>
    </w:p>
    <w:p>
      <w:pPr>
        <w:pStyle w:val="FirstParagraph"/>
      </w:pPr>
      <w:r>
        <w:t xml:space="preserve">6100 Main Street, Houston, Texas 77005, United States</w:t>
      </w:r>
    </w:p>
    <w:p>
      <w:pPr>
        <w:pStyle w:val="BodyText"/>
      </w:pPr>
      <w:r>
        <w:t xml:space="preserve">Phone: (713) 555-0142 | Email: procurement@rice.edu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QTE-HOU-2025-04871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September 12, 2025</w:t>
            </w:r>
          </w:p>
        </w:tc>
      </w:tr>
      <w:tr>
        <w:tc>
          <w:tcPr/>
          <w:p>
            <w:pPr>
              <w:pStyle w:val="Compact"/>
              <w:jc w:val="left"/>
            </w:pPr>
            <w:r>
              <w:t xml:space="preserve">Prepared For</w:t>
            </w:r>
          </w:p>
        </w:tc>
        <w:tc>
          <w:tcPr/>
          <w:p>
            <w:pPr>
              <w:pStyle w:val="Compact"/>
              <w:jc w:val="left"/>
            </w:pPr>
            <w:r>
              <w:t xml:space="preserve">Department of Engineering &amp; Applied Sciences, Rice University, Houston, Texas</w:t>
            </w:r>
          </w:p>
        </w:tc>
      </w:tr>
      <w:tr>
        <w:tc>
          <w:tcPr/>
          <w:p>
            <w:pPr>
              <w:pStyle w:val="Compact"/>
              <w:jc w:val="left"/>
            </w:pPr>
            <w:r>
              <w:t xml:space="preserve">Prepared By</w:t>
            </w:r>
          </w:p>
        </w:tc>
        <w:tc>
          <w:tcPr/>
          <w:p>
            <w:pPr>
              <w:pStyle w:val="Compact"/>
              <w:jc w:val="left"/>
            </w:pPr>
            <w:r>
              <w:t xml:space="preserve">Dr. Margaret L. Thornton, Director of Academic Staffing, Houston, United States</w:t>
            </w:r>
          </w:p>
        </w:tc>
      </w:tr>
      <w:tr>
        <w:tc>
          <w:tcPr/>
          <w:p>
            <w:pPr>
              <w:pStyle w:val="Compact"/>
              <w:jc w:val="left"/>
            </w:pPr>
            <w:r>
              <w:t xml:space="preserve">Position Title</w:t>
            </w:r>
          </w:p>
        </w:tc>
        <w:tc>
          <w:tcPr/>
          <w:p>
            <w:pPr>
              <w:pStyle w:val="Compact"/>
              <w:jc w:val="left"/>
            </w:pPr>
            <w:r>
              <w:t xml:space="preserve">University Lecturer – Full-Time, Tenure-Track</w:t>
            </w:r>
          </w:p>
        </w:tc>
      </w:tr>
      <w:tr>
        <w:tc>
          <w:tcPr/>
          <w:p>
            <w:pPr>
              <w:pStyle w:val="Compact"/>
              <w:jc w:val="left"/>
            </w:pPr>
            <w:r>
              <w:t xml:space="preserve">Location of Employment</w:t>
            </w:r>
          </w:p>
        </w:tc>
        <w:tc>
          <w:tcPr/>
          <w:p>
            <w:pPr>
              <w:pStyle w:val="Compact"/>
              <w:jc w:val="left"/>
            </w:pPr>
            <w:r>
              <w:t xml:space="preserve">University Campus, Houston, Texas 77005, United States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accordance with the procurement policies of the University of Houston and the broader academic hiring standards established across the</w:t>
      </w:r>
      <w:r>
        <w:t xml:space="preserve"> </w:t>
      </w:r>
      <w:r>
        <w:t xml:space="preserve">United States</w:t>
      </w:r>
      <w:r>
        <w:t xml:space="preserve">. The purpose of this document is to provide a comprehensive, itemized financial projection for the recruitment, onboarding, and first-year compensation of a</w:t>
      </w:r>
      <w:r>
        <w:t xml:space="preserve"> </w:t>
      </w:r>
      <w:r>
        <w:t xml:space="preserve">University Lecturer</w:t>
      </w:r>
      <w:r>
        <w:t xml:space="preserve"> </w:t>
      </w:r>
      <w:r>
        <w:t xml:space="preserve">to be appointed within the Department of Engineering &amp; Applied Sciences. All figures presented herein reflect current market rates for academic personnel in the Houston metropolitan area and are calibrated against national benchmarks for university faculty compensation in the United States.</w:t>
      </w:r>
    </w:p>
    <w:p>
      <w:pPr>
        <w:pStyle w:val="BodyText"/>
      </w:pPr>
      <w:r>
        <w:t xml:space="preserve">The</w:t>
      </w:r>
      <w:r>
        <w:t xml:space="preserve"> </w:t>
      </w:r>
      <w:r>
        <w:t xml:space="preserve">University Lecturer</w:t>
      </w:r>
      <w:r>
        <w:t xml:space="preserve"> </w:t>
      </w:r>
      <w:r>
        <w:t xml:space="preserve">position described in this</w:t>
      </w:r>
      <w:r>
        <w:t xml:space="preserve"> </w:t>
      </w:r>
      <w:r>
        <w:t xml:space="preserve">Quotation Estimate</w:t>
      </w:r>
      <w:r>
        <w:t xml:space="preserve"> </w:t>
      </w:r>
      <w:r>
        <w:t xml:space="preserve">encompasses a full-time, tenure-track appointment involving a minimum of 24 contact hours per week across two undergraduate courses and one graduate seminar, in addition to a defined research and service commitment. The successful candidate will be based at the university's primary campus in Houston, Texas, and will be expected to contribute to the institution's mission of advancing knowledge, fostering student development, and engaging with the broader Houston community.</w:t>
      </w:r>
    </w:p>
    <w:bookmarkEnd w:id="21"/>
    <w:bookmarkStart w:id="22" w:name="X373b56853e7fbfc9adcd03bce09e345df6f3a26"/>
    <w:p>
      <w:pPr>
        <w:pStyle w:val="Heading2"/>
      </w:pPr>
      <w:r>
        <w:t xml:space="preserve">2. Detailed Cost Breakdown – First Academic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Category</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Base Annual Salary</w:t>
            </w:r>
          </w:p>
        </w:tc>
        <w:tc>
          <w:tcPr/>
          <w:p>
            <w:pPr>
              <w:pStyle w:val="Compact"/>
              <w:jc w:val="left"/>
            </w:pPr>
            <w:r>
              <w:t xml:space="preserve">University Lecturer, Assistant Professor level, Houston market rate</w:t>
            </w:r>
          </w:p>
        </w:tc>
        <w:tc>
          <w:tcPr/>
          <w:p>
            <w:pPr>
              <w:pStyle w:val="Compact"/>
              <w:jc w:val="left"/>
            </w:pPr>
            <w:r>
              <w:t xml:space="preserve">$98,500.00</w:t>
            </w:r>
          </w:p>
        </w:tc>
      </w:tr>
      <w:tr>
        <w:tc>
          <w:tcPr/>
          <w:p>
            <w:pPr>
              <w:pStyle w:val="Compact"/>
              <w:jc w:val="left"/>
            </w:pPr>
            <w:r>
              <w:t xml:space="preserve">Research Start-Up Package</w:t>
            </w:r>
          </w:p>
        </w:tc>
        <w:tc>
          <w:tcPr/>
          <w:p>
            <w:pPr>
              <w:pStyle w:val="Compact"/>
              <w:jc w:val="left"/>
            </w:pPr>
            <w:r>
              <w:t xml:space="preserve">One-time laboratory equipment, materials, and initial research funding</w:t>
            </w:r>
          </w:p>
        </w:tc>
        <w:tc>
          <w:tcPr/>
          <w:p>
            <w:pPr>
              <w:pStyle w:val="Compact"/>
              <w:jc w:val="left"/>
            </w:pPr>
            <w:r>
              <w:t xml:space="preserve">$45,000.00</w:t>
            </w:r>
          </w:p>
        </w:tc>
      </w:tr>
      <w:tr>
        <w:tc>
          <w:tcPr/>
          <w:p>
            <w:pPr>
              <w:pStyle w:val="Compact"/>
              <w:jc w:val="left"/>
            </w:pPr>
            <w:r>
              <w:t xml:space="preserve">Annual Research Stipend</w:t>
            </w:r>
          </w:p>
        </w:tc>
        <w:tc>
          <w:tcPr/>
          <w:p>
            <w:pPr>
              <w:pStyle w:val="Compact"/>
              <w:jc w:val="left"/>
            </w:pPr>
            <w:r>
              <w:t xml:space="preserve">Ongoing research support, conference travel, and publication costs</w:t>
            </w:r>
          </w:p>
        </w:tc>
        <w:tc>
          <w:tcPr/>
          <w:p>
            <w:pPr>
              <w:pStyle w:val="Compact"/>
              <w:jc w:val="left"/>
            </w:pPr>
            <w:r>
              <w:t xml:space="preserve">$12,000.00</w:t>
            </w:r>
          </w:p>
        </w:tc>
      </w:tr>
      <w:tr>
        <w:tc>
          <w:tcPr/>
          <w:p>
            <w:pPr>
              <w:pStyle w:val="Compact"/>
              <w:jc w:val="left"/>
            </w:pPr>
            <w:r>
              <w:t xml:space="preserve">Health &amp; Dental Insurance</w:t>
            </w:r>
          </w:p>
        </w:tc>
        <w:tc>
          <w:tcPr/>
          <w:p>
            <w:pPr>
              <w:pStyle w:val="Compact"/>
              <w:jc w:val="left"/>
            </w:pPr>
            <w:r>
              <w:t xml:space="preserve">Comprehensive coverage for lecturer and eligible dependents (United States standard)</w:t>
            </w:r>
          </w:p>
        </w:tc>
        <w:tc>
          <w:tcPr/>
          <w:p>
            <w:pPr>
              <w:pStyle w:val="Compact"/>
              <w:jc w:val="left"/>
            </w:pPr>
            <w:r>
              <w:t xml:space="preserve">$14,200.00</w:t>
            </w:r>
          </w:p>
        </w:tc>
      </w:tr>
      <w:tr>
        <w:tc>
          <w:tcPr/>
          <w:p>
            <w:pPr>
              <w:pStyle w:val="Compact"/>
              <w:jc w:val="left"/>
            </w:pPr>
            <w:r>
              <w:t xml:space="preserve">Retirement Contribution (403b)</w:t>
            </w:r>
          </w:p>
        </w:tc>
        <w:tc>
          <w:tcPr/>
          <w:p>
            <w:pPr>
              <w:pStyle w:val="Compact"/>
              <w:jc w:val="left"/>
            </w:pPr>
            <w:r>
              <w:t xml:space="preserve">University-matched contribution up to 6% of base salary</w:t>
            </w:r>
          </w:p>
        </w:tc>
        <w:tc>
          <w:tcPr/>
          <w:p>
            <w:pPr>
              <w:pStyle w:val="Compact"/>
              <w:jc w:val="left"/>
            </w:pPr>
            <w:r>
              <w:t xml:space="preserve">$5,910.00</w:t>
            </w:r>
          </w:p>
        </w:tc>
      </w:tr>
      <w:tr>
        <w:tc>
          <w:tcPr/>
          <w:p>
            <w:pPr>
              <w:pStyle w:val="Compact"/>
              <w:jc w:val="left"/>
            </w:pPr>
            <w:r>
              <w:t xml:space="preserve">Relocation Assistance</w:t>
            </w:r>
          </w:p>
        </w:tc>
        <w:tc>
          <w:tcPr/>
          <w:p>
            <w:pPr>
              <w:pStyle w:val="Compact"/>
              <w:jc w:val="left"/>
            </w:pPr>
            <w:r>
              <w:t xml:space="preserve">One-time relocation allowance for move to Houston, Texas, United States</w:t>
            </w:r>
          </w:p>
        </w:tc>
        <w:tc>
          <w:tcPr/>
          <w:p>
            <w:pPr>
              <w:pStyle w:val="Compact"/>
              <w:jc w:val="left"/>
            </w:pPr>
            <w:r>
              <w:t xml:space="preserve">$10,000.00</w:t>
            </w:r>
          </w:p>
        </w:tc>
      </w:tr>
      <w:tr>
        <w:tc>
          <w:tcPr/>
          <w:p>
            <w:pPr>
              <w:pStyle w:val="Compact"/>
              <w:jc w:val="left"/>
            </w:pPr>
            <w:r>
              <w:t xml:space="preserve">Office &amp; Laboratory Space</w:t>
            </w:r>
          </w:p>
        </w:tc>
        <w:tc>
          <w:tcPr/>
          <w:p>
            <w:pPr>
              <w:pStyle w:val="Compact"/>
              <w:jc w:val="left"/>
            </w:pPr>
            <w:r>
              <w:t xml:space="preserve">Annual allocation for dedicated office, lab access, and utilities</w:t>
            </w:r>
          </w:p>
        </w:tc>
        <w:tc>
          <w:tcPr/>
          <w:p>
            <w:pPr>
              <w:pStyle w:val="Compact"/>
              <w:jc w:val="left"/>
            </w:pPr>
            <w:r>
              <w:t xml:space="preserve">$8,500.00</w:t>
            </w:r>
          </w:p>
        </w:tc>
      </w:tr>
      <w:tr>
        <w:tc>
          <w:tcPr/>
          <w:p>
            <w:pPr>
              <w:pStyle w:val="Compact"/>
              <w:jc w:val="left"/>
            </w:pPr>
            <w:r>
              <w:t xml:space="preserve">Teaching &amp; Course Development</w:t>
            </w:r>
          </w:p>
        </w:tc>
        <w:tc>
          <w:tcPr/>
          <w:p>
            <w:pPr>
              <w:pStyle w:val="Compact"/>
              <w:jc w:val="left"/>
            </w:pPr>
            <w:r>
              <w:t xml:space="preserve">Textbook procurement, software licenses, and instructional technology</w:t>
            </w:r>
          </w:p>
        </w:tc>
        <w:tc>
          <w:tcPr/>
          <w:p>
            <w:pPr>
              <w:pStyle w:val="Compact"/>
              <w:jc w:val="left"/>
            </w:pPr>
            <w:r>
              <w:t xml:space="preserve">$4,800.00</w:t>
            </w:r>
          </w:p>
        </w:tc>
      </w:tr>
      <w:tr>
        <w:tc>
          <w:tcPr/>
          <w:p>
            <w:pPr>
              <w:pStyle w:val="Compact"/>
              <w:jc w:val="left"/>
            </w:pPr>
            <w:r>
              <w:t xml:space="preserve">Professional Development</w:t>
            </w:r>
          </w:p>
        </w:tc>
        <w:tc>
          <w:tcPr/>
          <w:p>
            <w:pPr>
              <w:pStyle w:val="Compact"/>
              <w:jc w:val="left"/>
            </w:pPr>
            <w:r>
              <w:t xml:space="preserve">Annual membership in academic societies, workshops, and sabbatical preparation</w:t>
            </w:r>
          </w:p>
        </w:tc>
        <w:tc>
          <w:tcPr/>
          <w:p>
            <w:pPr>
              <w:pStyle w:val="Compact"/>
              <w:jc w:val="left"/>
            </w:pPr>
            <w:r>
              <w:t xml:space="preserve">$3,500.00</w:t>
            </w:r>
          </w:p>
        </w:tc>
      </w:tr>
      <w:tr>
        <w:tc>
          <w:tcPr/>
          <w:p>
            <w:pPr>
              <w:pStyle w:val="Compact"/>
              <w:jc w:val="left"/>
            </w:pPr>
            <w:r>
              <w:t xml:space="preserve">Recruitment &amp; Search Committee Costs</w:t>
            </w:r>
          </w:p>
        </w:tc>
        <w:tc>
          <w:tcPr/>
          <w:p>
            <w:pPr>
              <w:pStyle w:val="Compact"/>
              <w:jc w:val="left"/>
            </w:pPr>
            <w:r>
              <w:t xml:space="preserve">Job advertising, travel for interviews, and background verification</w:t>
            </w:r>
          </w:p>
        </w:tc>
        <w:tc>
          <w:tcPr/>
          <w:p>
            <w:pPr>
              <w:pStyle w:val="Compact"/>
              <w:jc w:val="left"/>
            </w:pPr>
            <w:r>
              <w:t xml:space="preserve">$6,200.00</w:t>
            </w:r>
          </w:p>
        </w:tc>
      </w:tr>
      <w:tr>
        <w:tc>
          <w:tcPr/>
          <w:p>
            <w:pPr>
              <w:pStyle w:val="Compact"/>
              <w:jc w:val="left"/>
            </w:pPr>
            <w:r>
              <w:t xml:space="preserve">Onboarding &amp; Administrative Fees</w:t>
            </w:r>
          </w:p>
        </w:tc>
        <w:tc>
          <w:tcPr/>
          <w:p>
            <w:pPr>
              <w:pStyle w:val="Compact"/>
              <w:jc w:val="left"/>
            </w:pPr>
            <w:r>
              <w:t xml:space="preserve">HR processing, IT provisioning, orientation, and compliance training</w:t>
            </w:r>
          </w:p>
        </w:tc>
        <w:tc>
          <w:tcPr/>
          <w:p>
            <w:pPr>
              <w:pStyle w:val="Compact"/>
              <w:jc w:val="left"/>
            </w:pPr>
            <w:r>
              <w:t xml:space="preserve">$2,390.00</w:t>
            </w:r>
          </w:p>
        </w:tc>
      </w:tr>
      <w:tr>
        <w:tc>
          <w:tcPr>
            <w:gridSpan w:val="2"/>
          </w:tcPr>
          <w:p>
            <w:pPr>
              <w:pStyle w:val="Compact"/>
              <w:jc w:val="left"/>
            </w:pPr>
            <w:r>
              <w:t xml:space="preserve">TOTAL ESTIMATED FIRST-YEAR COST</w:t>
            </w:r>
          </w:p>
        </w:tc>
        <w:tc>
          <w:tcPr/>
          <w:p>
            <w:pPr>
              <w:pStyle w:val="Compact"/>
              <w:jc w:val="left"/>
            </w:pPr>
            <w:r>
              <w:t xml:space="preserve">$211,000.00</w:t>
            </w:r>
          </w:p>
        </w:tc>
      </w:tr>
    </w:tbl>
    <w:bookmarkEnd w:id="22"/>
    <w:bookmarkStart w:id="23" w:name="multi-year-projection-years-25"/>
    <w:p>
      <w:pPr>
        <w:pStyle w:val="Heading2"/>
      </w:pPr>
      <w:r>
        <w:t xml:space="preserve">3. Multi-Year Projection (Years 2–5)</w:t>
      </w:r>
    </w:p>
    <w:p>
      <w:pPr>
        <w:pStyle w:val="FirstParagraph"/>
      </w:pPr>
      <w:r>
        <w:t xml:space="preserve">This</w:t>
      </w:r>
      <w:r>
        <w:t xml:space="preserve"> </w:t>
      </w:r>
      <w:r>
        <w:t xml:space="preserve">Quotation Estimate</w:t>
      </w:r>
      <w:r>
        <w:t xml:space="preserve"> </w:t>
      </w:r>
      <w:r>
        <w:t xml:space="preserve">further projects the ongoing annual cost of retaining the</w:t>
      </w:r>
      <w:r>
        <w:t xml:space="preserve"> </w:t>
      </w:r>
      <w:r>
        <w:t xml:space="preserve">University Lecturer</w:t>
      </w:r>
      <w:r>
        <w:t xml:space="preserve"> </w:t>
      </w:r>
      <w:r>
        <w:t xml:space="preserve">through the tenure review period. Based on standard merit increases of 3.5% per annum and anticipated cost-of-living adjustments specific to the Houston, Texas region, the projected annual expenditure for the</w:t>
      </w:r>
      <w:r>
        <w:t xml:space="preserve"> </w:t>
      </w:r>
      <w:r>
        <w:t xml:space="preserve">University Lecturer</w:t>
      </w:r>
      <w:r>
        <w:t xml:space="preserve"> </w:t>
      </w:r>
      <w:r>
        <w:t xml:space="preserve">position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Academic Year</w:t>
            </w:r>
          </w:p>
        </w:tc>
        <w:tc>
          <w:tcPr/>
          <w:p>
            <w:pPr>
              <w:pStyle w:val="Compact"/>
              <w:jc w:val="left"/>
            </w:pPr>
            <w:r>
              <w:t xml:space="preserve">Projected Annual Cost (USD)</w:t>
            </w:r>
          </w:p>
        </w:tc>
        <w:tc>
          <w:tcPr/>
          <w:p>
            <w:pPr>
              <w:pStyle w:val="Compact"/>
              <w:jc w:val="left"/>
            </w:pPr>
            <w:r>
              <w:t xml:space="preserve">Cumulative Total (USD)</w:t>
            </w:r>
          </w:p>
        </w:tc>
      </w:tr>
      <w:tr>
        <w:tc>
          <w:tcPr/>
          <w:p>
            <w:pPr>
              <w:pStyle w:val="Compact"/>
              <w:jc w:val="left"/>
            </w:pPr>
            <w:r>
              <w:t xml:space="preserve">Year 1 (2025–2026)</w:t>
            </w:r>
          </w:p>
        </w:tc>
        <w:tc>
          <w:tcPr/>
          <w:p>
            <w:pPr>
              <w:pStyle w:val="Compact"/>
              <w:jc w:val="left"/>
            </w:pPr>
            <w:r>
              <w:t xml:space="preserve">$211,000.00</w:t>
            </w:r>
          </w:p>
        </w:tc>
        <w:tc>
          <w:tcPr/>
          <w:p>
            <w:pPr>
              <w:pStyle w:val="Compact"/>
              <w:jc w:val="left"/>
            </w:pPr>
            <w:r>
              <w:t xml:space="preserve">$211,000.00</w:t>
            </w:r>
          </w:p>
        </w:tc>
      </w:tr>
      <w:tr>
        <w:tc>
          <w:tcPr/>
          <w:p>
            <w:pPr>
              <w:pStyle w:val="Compact"/>
              <w:jc w:val="left"/>
            </w:pPr>
            <w:r>
              <w:t xml:space="preserve">Year 2 (2026–2027)</w:t>
            </w:r>
          </w:p>
        </w:tc>
        <w:tc>
          <w:tcPr/>
          <w:p>
            <w:pPr>
              <w:pStyle w:val="Compact"/>
              <w:jc w:val="left"/>
            </w:pPr>
            <w:r>
              <w:t xml:space="preserve">$218,435.00</w:t>
            </w:r>
          </w:p>
        </w:tc>
        <w:tc>
          <w:tcPr/>
          <w:p>
            <w:pPr>
              <w:pStyle w:val="Compact"/>
              <w:jc w:val="left"/>
            </w:pPr>
            <w:r>
              <w:t xml:space="preserve">$429,435.00</w:t>
            </w:r>
          </w:p>
        </w:tc>
      </w:tr>
      <w:tr>
        <w:tc>
          <w:tcPr/>
          <w:p>
            <w:pPr>
              <w:pStyle w:val="Compact"/>
              <w:jc w:val="left"/>
            </w:pPr>
            <w:r>
              <w:t xml:space="preserve">Year 3 (2027–2028)</w:t>
            </w:r>
          </w:p>
        </w:tc>
        <w:tc>
          <w:tcPr/>
          <w:p>
            <w:pPr>
              <w:pStyle w:val="Compact"/>
              <w:jc w:val="left"/>
            </w:pPr>
            <w:r>
              <w:t xml:space="preserve">$226,179.25</w:t>
            </w:r>
          </w:p>
        </w:tc>
        <w:tc>
          <w:tcPr/>
          <w:p>
            <w:pPr>
              <w:pStyle w:val="Compact"/>
              <w:jc w:val="left"/>
            </w:pPr>
            <w:r>
              <w:t xml:space="preserve">$655,614.25</w:t>
            </w:r>
          </w:p>
        </w:tc>
      </w:tr>
      <w:tr>
        <w:tc>
          <w:tcPr/>
          <w:p>
            <w:pPr>
              <w:pStyle w:val="Compact"/>
              <w:jc w:val="left"/>
            </w:pPr>
            <w:r>
              <w:t xml:space="preserve">Year 4 (2028–2029)</w:t>
            </w:r>
          </w:p>
        </w:tc>
        <w:tc>
          <w:tcPr/>
          <w:p>
            <w:pPr>
              <w:pStyle w:val="Compact"/>
              <w:jc w:val="left"/>
            </w:pPr>
            <w:r>
              <w:t xml:space="preserve">$234,095.52</w:t>
            </w:r>
          </w:p>
        </w:tc>
        <w:tc>
          <w:tcPr/>
          <w:p>
            <w:pPr>
              <w:pStyle w:val="Compact"/>
              <w:jc w:val="left"/>
            </w:pPr>
            <w:r>
              <w:t xml:space="preserve">$889,709.77</w:t>
            </w:r>
          </w:p>
        </w:tc>
      </w:tr>
      <w:tr>
        <w:tc>
          <w:tcPr/>
          <w:p>
            <w:pPr>
              <w:pStyle w:val="Compact"/>
              <w:jc w:val="left"/>
            </w:pPr>
            <w:r>
              <w:t xml:space="preserve">Year 5 (2029–2030)</w:t>
            </w:r>
          </w:p>
        </w:tc>
        <w:tc>
          <w:tcPr/>
          <w:p>
            <w:pPr>
              <w:pStyle w:val="Compact"/>
              <w:jc w:val="left"/>
            </w:pPr>
            <w:r>
              <w:t xml:space="preserve">$242,288.86</w:t>
            </w:r>
          </w:p>
        </w:tc>
        <w:tc>
          <w:tcPr/>
          <w:p>
            <w:pPr>
              <w:pStyle w:val="Compact"/>
              <w:jc w:val="left"/>
            </w:pPr>
            <w:r>
              <w:t xml:space="preserve">$1,131,998.63</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commitment beyond this period will require a revised estimate reflecting current Houston, Texas market conditions.</w:t>
      </w:r>
    </w:p>
    <w:p>
      <w:pPr>
        <w:numPr>
          <w:ilvl w:val="0"/>
          <w:numId w:val="1001"/>
        </w:numPr>
        <w:pStyle w:val="Compact"/>
      </w:pPr>
      <w:r>
        <w:t xml:space="preserve">All monetary figures are expressed in United States Dollars (USD) and are subject to applicable federal, state (Texas), and local (Houston) tax obligations as mandated by the United States Internal Revenue Service.</w:t>
      </w:r>
    </w:p>
    <w:p>
      <w:pPr>
        <w:numPr>
          <w:ilvl w:val="0"/>
          <w:numId w:val="1001"/>
        </w:numPr>
        <w:pStyle w:val="Compact"/>
      </w:pPr>
      <w:r>
        <w:t xml:space="preserve">The</w:t>
      </w:r>
      <w:r>
        <w:t xml:space="preserve"> </w:t>
      </w:r>
      <w:r>
        <w:t xml:space="preserve">University Lecturer</w:t>
      </w:r>
      <w:r>
        <w:t xml:space="preserve"> </w:t>
      </w:r>
      <w:r>
        <w:t xml:space="preserve">appointment is contingent upon successful completion of a national job search, reference verification, and institutional approval by the Board of Trustees.</w:t>
      </w:r>
    </w:p>
    <w:p>
      <w:pPr>
        <w:numPr>
          <w:ilvl w:val="0"/>
          <w:numId w:val="1001"/>
        </w:numPr>
        <w:pStyle w:val="Compact"/>
      </w:pPr>
      <w:r>
        <w:t xml:space="preserve">Relocation assistance is provided as a one-time disbursement and is taxable income under United States federal law. The university will withhold applicable taxes at the source.</w:t>
      </w:r>
    </w:p>
    <w:p>
      <w:pPr>
        <w:numPr>
          <w:ilvl w:val="0"/>
          <w:numId w:val="1001"/>
        </w:numPr>
        <w:pStyle w:val="Compact"/>
      </w:pPr>
      <w:r>
        <w:t xml:space="preserve">The research start-up package is allocated in tranches: 50% upon commencement of employment, 30% upon completion of the first semester, and 20% upon satisfactory completion of the first academic year.</w:t>
      </w:r>
    </w:p>
    <w:p>
      <w:pPr>
        <w:numPr>
          <w:ilvl w:val="0"/>
          <w:numId w:val="1001"/>
        </w:numPr>
        <w:pStyle w:val="Compact"/>
      </w:pPr>
      <w:r>
        <w:t xml:space="preserve">This estimate does not include costs associated with sabbatical leave, which typically occurs in the sixth or seventh year of the</w:t>
      </w:r>
      <w:r>
        <w:t xml:space="preserve"> </w:t>
      </w:r>
      <w:r>
        <w:t xml:space="preserve">University Lecturer</w:t>
      </w:r>
      <w:r>
        <w:t xml:space="preserve">'s appointment.</w:t>
      </w:r>
    </w:p>
    <w:p>
      <w:pPr>
        <w:numPr>
          <w:ilvl w:val="0"/>
          <w:numId w:val="1001"/>
        </w:numPr>
        <w:pStyle w:val="Compact"/>
      </w:pPr>
      <w:r>
        <w:t xml:space="preserve">All terms are governed by the laws of the State of Texas and the United States of America. Disputes arising from this</w:t>
      </w:r>
      <w:r>
        <w:t xml:space="preserve"> </w:t>
      </w:r>
      <w:r>
        <w:t xml:space="preserve">Quotation Estimate</w:t>
      </w:r>
      <w:r>
        <w:t xml:space="preserve"> </w:t>
      </w:r>
      <w:r>
        <w:t xml:space="preserve">shall be resolved through institutional mediation prior to any legal proceedings.</w:t>
      </w:r>
    </w:p>
    <w:p>
      <w:pPr>
        <w:numPr>
          <w:ilvl w:val="0"/>
          <w:numId w:val="1001"/>
        </w:numPr>
        <w:pStyle w:val="Compact"/>
      </w:pPr>
      <w:r>
        <w:t xml:space="preserve">The university reserves the right to adjust compensation figures to align with updated collective bargaining agreements or institutional budget revisions approved by the Houston-based governing board.</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acknowledges receipt of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and agrees to the financial projections and terms outlined herein. This document serves as the basis for budget allocation within the fiscal year 2025–2026 for the university's operations in Houston, United States.</w:t>
      </w:r>
    </w:p>
    <w:p>
      <w:pPr>
        <w:pStyle w:val="BodyText"/>
      </w:pPr>
      <w:r>
        <w:rPr>
          <w:bCs/>
          <w:b/>
        </w:rPr>
        <w:t xml:space="preserve">Prepared By:</w:t>
      </w:r>
      <w:r>
        <w:br/>
      </w:r>
      <w:r>
        <w:t xml:space="preserve">Dr. Margaret L. Thornton</w:t>
      </w:r>
      <w:r>
        <w:br/>
      </w:r>
      <w:r>
        <w:t xml:space="preserve">Director of Academic Staffing</w:t>
      </w:r>
      <w:r>
        <w:br/>
      </w:r>
      <w:r>
        <w:t xml:space="preserve">Date: ______________________</w:t>
      </w:r>
    </w:p>
    <w:p>
      <w:pPr>
        <w:pStyle w:val="BodyText"/>
      </w:pPr>
      <w:r>
        <w:rPr>
          <w:bCs/>
          <w:b/>
        </w:rPr>
        <w:t xml:space="preserve">Approved By:</w:t>
      </w:r>
      <w:r>
        <w:br/>
      </w:r>
      <w:r>
        <w:t xml:space="preserve">Dr. James R. Whitfield</w:t>
      </w:r>
      <w:r>
        <w:br/>
      </w:r>
      <w:r>
        <w:t xml:space="preserve">Dean, College of Engineering</w:t>
      </w:r>
      <w:r>
        <w:br/>
      </w:r>
      <w:r>
        <w:t xml:space="preserve">Date: ______________________</w:t>
      </w:r>
    </w:p>
    <w:p>
      <w:pPr>
        <w:pStyle w:val="BodyText"/>
      </w:pPr>
      <w:r>
        <w:t xml:space="preserve">Quotation Estimate QTE-HOU-2025-04871 | University Lecturer Position | Houston, Texas, United States</w:t>
      </w:r>
    </w:p>
    <w:p>
      <w:pPr>
        <w:pStyle w:val="BodyText"/>
      </w:pPr>
      <w:r>
        <w:t xml:space="preserve">This document is confidential and intended solely for the use of the named recipient. Unauthorized distribution is prohibited.</w:t>
      </w:r>
    </w:p>
    <w:p>
      <w:pPr>
        <w:pStyle w:val="BodyText"/>
      </w:pPr>
      <w:r>
        <w:t xml:space="preserve">© 2025 Rice University – Office of Academic Procurement.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Houston, United States</dc:title>
  <dc:creator/>
  <dc:language>en</dc:language>
  <cp:keywords/>
  <dcterms:created xsi:type="dcterms:W3CDTF">2026-10-10T04:27:15Z</dcterms:created>
  <dcterms:modified xsi:type="dcterms:W3CDTF">2026-10-10T04:27:15Z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