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Serving the United States Los Angeles Metropolitan Area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QE-2025-LA-0487</w:t>
            </w:r>
          </w:p>
        </w:tc>
      </w:tr>
      <w:tr>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Currency:</w:t>
            </w:r>
          </w:p>
        </w:tc>
        <w:tc>
          <w:tcPr/>
          <w:p>
            <w:pPr>
              <w:pStyle w:val="Compact"/>
              <w:jc w:val="left"/>
            </w:pPr>
            <w:r>
              <w:t xml:space="preserve">United States Dollar (USD)</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Margaret E. Whitfield</w:t>
            </w:r>
          </w:p>
        </w:tc>
      </w:tr>
      <w:tr>
        <w:tc>
          <w:tcPr/>
          <w:p>
            <w:pPr>
              <w:pStyle w:val="Compact"/>
              <w:jc w:val="left"/>
            </w:pPr>
            <w:r>
              <w:t xml:space="preserve">Department:</w:t>
            </w:r>
          </w:p>
        </w:tc>
        <w:tc>
          <w:tcPr/>
          <w:p>
            <w:pPr>
              <w:pStyle w:val="Compact"/>
              <w:jc w:val="left"/>
            </w:pPr>
            <w:r>
              <w:t xml:space="preserve">Academic Personnel Services</w:t>
            </w:r>
          </w:p>
        </w:tc>
      </w:tr>
      <w:tr>
        <w:tc>
          <w:tcPr/>
          <w:p>
            <w:pPr>
              <w:pStyle w:val="Compact"/>
              <w:jc w:val="left"/>
            </w:pPr>
            <w:r>
              <w:t xml:space="preserve">Location:</w:t>
            </w:r>
          </w:p>
        </w:tc>
        <w:tc>
          <w:tcPr/>
          <w:p>
            <w:pPr>
              <w:pStyle w:val="Compact"/>
              <w:jc w:val="left"/>
            </w:pPr>
            <w:r>
              <w:t xml:space="preserve">United States Los Angeles</w:t>
            </w:r>
          </w:p>
        </w:tc>
      </w:tr>
      <w:tr>
        <w:tc>
          <w:tcPr/>
          <w:p>
            <w:pPr>
              <w:pStyle w:val="Compact"/>
              <w:jc w:val="left"/>
            </w:pPr>
            <w:r>
              <w:t xml:space="preserve">Contact:</w:t>
            </w:r>
          </w:p>
        </w:tc>
        <w:tc>
          <w:tcPr/>
          <w:p>
            <w:pPr>
              <w:pStyle w:val="Compact"/>
              <w:jc w:val="left"/>
            </w:pPr>
            <w:r>
              <w:t xml:space="preserve">m.whitfield@lauservices.edu</w:t>
            </w:r>
          </w:p>
        </w:tc>
      </w:tr>
    </w:tbl>
    <w:bookmarkStart w:id="21" w:name="prepared-for-client"/>
    <w:p>
      <w:pPr>
        <w:pStyle w:val="Heading3"/>
      </w:pPr>
      <w:r>
        <w:t xml:space="preserve">Prepared For (Client)</w:t>
      </w:r>
    </w:p>
    <w:p>
      <w:pPr>
        <w:pStyle w:val="FirstParagraph"/>
      </w:pPr>
      <w:r>
        <w:rPr>
          <w:bCs/>
          <w:b/>
        </w:rPr>
        <w:t xml:space="preserve">Los Angeles State University</w:t>
      </w:r>
    </w:p>
    <w:p>
      <w:pPr>
        <w:pStyle w:val="BodyText"/>
      </w:pPr>
      <w:r>
        <w:t xml:space="preserve">Department of Applied Sciences</w:t>
      </w:r>
    </w:p>
    <w:p>
      <w:pPr>
        <w:pStyle w:val="BodyText"/>
      </w:pPr>
      <w:r>
        <w:t xml:space="preserve">4500 University Boulevard</w:t>
      </w:r>
    </w:p>
    <w:p>
      <w:pPr>
        <w:pStyle w:val="BodyText"/>
      </w:pPr>
      <w:r>
        <w:t xml:space="preserve">Los Angeles, California 90007</w:t>
      </w:r>
    </w:p>
    <w:p>
      <w:pPr>
        <w:pStyle w:val="BodyText"/>
      </w:pPr>
      <w:r>
        <w:t xml:space="preserve">United States</w:t>
      </w:r>
    </w:p>
    <w:p>
      <w:pPr>
        <w:pStyle w:val="BodyText"/>
      </w:pPr>
      <w:r>
        <w:t xml:space="preserve">Attn: Dr. Robert Chen, Dean of Faculty</w:t>
      </w:r>
    </w:p>
    <w:bookmarkEnd w:id="21"/>
    <w:bookmarkStart w:id="22" w:name="prepared-by-provider"/>
    <w:p>
      <w:pPr>
        <w:pStyle w:val="Heading3"/>
      </w:pPr>
      <w:r>
        <w:t xml:space="preserve">Prepared By (Provider)</w:t>
      </w:r>
    </w:p>
    <w:p>
      <w:pPr>
        <w:pStyle w:val="FirstParagraph"/>
      </w:pPr>
      <w:r>
        <w:rPr>
          <w:bCs/>
          <w:b/>
        </w:rPr>
        <w:t xml:space="preserve">Whitfield Academic Consulting Group</w:t>
      </w:r>
    </w:p>
    <w:p>
      <w:pPr>
        <w:pStyle w:val="BodyText"/>
      </w:pPr>
      <w:r>
        <w:t xml:space="preserve">1200 Wilshire Boulevard, Suite 840</w:t>
      </w:r>
    </w:p>
    <w:p>
      <w:pPr>
        <w:pStyle w:val="BodyText"/>
      </w:pPr>
      <w:r>
        <w:t xml:space="preserve">Los Angeles, California 90017</w:t>
      </w:r>
    </w:p>
    <w:p>
      <w:pPr>
        <w:pStyle w:val="BodyText"/>
      </w:pPr>
      <w:r>
        <w:t xml:space="preserve">United States</w:t>
      </w:r>
    </w:p>
    <w:p>
      <w:pPr>
        <w:pStyle w:val="BodyText"/>
      </w:pPr>
      <w:r>
        <w:t xml:space="preserve">Tel: (213) 555-0192</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itemized financial projection for the engagement of a qualified</w:t>
      </w:r>
      <w:r>
        <w:t xml:space="preserve"> </w:t>
      </w:r>
      <w:r>
        <w:t xml:space="preserve">University Lecturer</w:t>
      </w:r>
      <w:r>
        <w:t xml:space="preserve"> </w:t>
      </w:r>
      <w:r>
        <w:t xml:space="preserve">to deliver academic instruction, research supervision, and departmental service within the United States Los Angeles higher education sector. The scope of this engagement encompasses a full academic year (September 2025 through May 2026) and includes all associated professional services, travel allowances, and institutional support costs. This document serves as a binding financial reference for budgetary planning and procurement approval by the client institution.</w:t>
      </w:r>
    </w:p>
    <w:bookmarkEnd w:id="23"/>
    <w:bookmarkStart w:id="24" w:name="Xeb6c46b5f33ace7d4f62f5ab8b2bbcbfb01f360"/>
    <w:p>
      <w:pPr>
        <w:pStyle w:val="Heading2"/>
      </w:pPr>
      <w:r>
        <w:t xml:space="preserve">2. Scope of Services — University Lecturer Role</w:t>
      </w:r>
    </w:p>
    <w:p>
      <w:pPr>
        <w:pStyle w:val="FirstParagraph"/>
      </w:pPr>
      <w:r>
        <w:t xml:space="preserve">The</w:t>
      </w:r>
      <w:r>
        <w:t xml:space="preserve"> </w:t>
      </w:r>
      <w:r>
        <w:t xml:space="preserve">University Lecturer</w:t>
      </w:r>
      <w:r>
        <w:t xml:space="preserve"> </w:t>
      </w:r>
      <w:r>
        <w:t xml:space="preserve">position described in this Quotation Estimate entails the following core responsibilities:</w:t>
      </w:r>
    </w:p>
    <w:p>
      <w:pPr>
        <w:numPr>
          <w:ilvl w:val="0"/>
          <w:numId w:val="1001"/>
        </w:numPr>
        <w:pStyle w:val="Compact"/>
      </w:pPr>
      <w:r>
        <w:t xml:space="preserve">Delivery of 12 contact hours per week across two undergraduate courses and one graduate seminar in the field of Applied Environmental Science.</w:t>
      </w:r>
    </w:p>
    <w:p>
      <w:pPr>
        <w:numPr>
          <w:ilvl w:val="0"/>
          <w:numId w:val="1001"/>
        </w:numPr>
        <w:pStyle w:val="Compact"/>
      </w:pPr>
      <w:r>
        <w:t xml:space="preserve">Supervision of a minimum of six (6) graduate research students, including thesis direction and committee participation.</w:t>
      </w:r>
    </w:p>
    <w:p>
      <w:pPr>
        <w:numPr>
          <w:ilvl w:val="0"/>
          <w:numId w:val="1001"/>
        </w:numPr>
        <w:pStyle w:val="Compact"/>
      </w:pPr>
      <w:r>
        <w:t xml:space="preserve">Development and maintenance of course curricula, assessment instruments, and digital learning materials aligned with accreditation standards.</w:t>
      </w:r>
    </w:p>
    <w:p>
      <w:pPr>
        <w:numPr>
          <w:ilvl w:val="0"/>
          <w:numId w:val="1001"/>
        </w:numPr>
        <w:pStyle w:val="Compact"/>
      </w:pPr>
      <w:r>
        <w:t xml:space="preserve">Participation in departmental governance, curriculum review boards, and institutional committees as required by the United States Los Angeles university system.</w:t>
      </w:r>
    </w:p>
    <w:p>
      <w:pPr>
        <w:numPr>
          <w:ilvl w:val="0"/>
          <w:numId w:val="1001"/>
        </w:numPr>
        <w:pStyle w:val="Compact"/>
      </w:pPr>
      <w:r>
        <w:t xml:space="preserve">Publication of at least two (2) peer-reviewed journal articles per academic year and presentation at one (1) national or international conference.</w:t>
      </w:r>
    </w:p>
    <w:p>
      <w:pPr>
        <w:numPr>
          <w:ilvl w:val="0"/>
          <w:numId w:val="1001"/>
        </w:numPr>
        <w:pStyle w:val="Compact"/>
      </w:pPr>
      <w:r>
        <w:t xml:space="preserve">Availability for student office hours totaling no fewer than four (4) hours per week on campus.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Base Annual Salary — University Lecturer (Full-Time, 9-month contract)</w:t>
            </w:r>
          </w:p>
        </w:tc>
        <w:tc>
          <w:tcPr/>
          <w:p>
            <w:pPr>
              <w:pStyle w:val="Compact"/>
              <w:jc w:val="left"/>
            </w:pPr>
            <w:r>
              <w:t xml:space="preserve">Annual</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2</w:t>
            </w:r>
          </w:p>
        </w:tc>
        <w:tc>
          <w:tcPr/>
          <w:p>
            <w:pPr>
              <w:pStyle w:val="Compact"/>
              <w:jc w:val="left"/>
            </w:pPr>
            <w:r>
              <w:t xml:space="preserve">Research Stipend &amp; Laboratory Access Fee</w:t>
            </w:r>
          </w:p>
        </w:tc>
        <w:tc>
          <w:tcPr/>
          <w:p>
            <w:pPr>
              <w:pStyle w:val="Compact"/>
              <w:jc w:val="left"/>
            </w:pPr>
            <w:r>
              <w:t xml:space="preserve">Annual</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Graduate Supervision Allowance (6 students)</w:t>
            </w:r>
          </w:p>
        </w:tc>
        <w:tc>
          <w:tcPr/>
          <w:p>
            <w:pPr>
              <w:pStyle w:val="Compact"/>
              <w:jc w:val="left"/>
            </w:pPr>
            <w:r>
              <w:t xml:space="preserve">Annual</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Professional Development &amp; Conference Travel (United States Los Angeles region)</w:t>
            </w:r>
          </w:p>
        </w:tc>
        <w:tc>
          <w:tcPr/>
          <w:p>
            <w:pPr>
              <w:pStyle w:val="Compact"/>
              <w:jc w:val="left"/>
            </w:pPr>
            <w:r>
              <w:t xml:space="preserve">Annual</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Curriculum Development &amp; Digital Learning Platform License</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Health, Dental &amp; Vision Insurance (Employer Contribution)</w:t>
            </w:r>
          </w:p>
        </w:tc>
        <w:tc>
          <w:tcPr/>
          <w:p>
            <w:pPr>
              <w:pStyle w:val="Compact"/>
              <w:jc w:val="left"/>
            </w:pPr>
            <w:r>
              <w:t xml:space="preserve">Annual</w:t>
            </w:r>
          </w:p>
        </w:tc>
        <w:tc>
          <w:tcPr/>
          <w:p>
            <w:pPr>
              <w:pStyle w:val="Compact"/>
              <w:jc w:val="left"/>
            </w:pPr>
            <w:r>
              <w:t xml:space="preserve">$14,800.00</w:t>
            </w:r>
          </w:p>
        </w:tc>
        <w:tc>
          <w:tcPr/>
          <w:p>
            <w:pPr>
              <w:pStyle w:val="Compact"/>
              <w:jc w:val="left"/>
            </w:pPr>
            <w:r>
              <w:t xml:space="preserve">$14,800.00</w:t>
            </w:r>
          </w:p>
        </w:tc>
      </w:tr>
      <w:tr>
        <w:tc>
          <w:tcPr/>
          <w:p>
            <w:pPr>
              <w:pStyle w:val="Compact"/>
              <w:jc w:val="left"/>
            </w:pPr>
            <w:r>
              <w:t xml:space="preserve">7</w:t>
            </w:r>
          </w:p>
        </w:tc>
        <w:tc>
          <w:tcPr/>
          <w:p>
            <w:pPr>
              <w:pStyle w:val="Compact"/>
              <w:jc w:val="left"/>
            </w:pPr>
            <w:r>
              <w:t xml:space="preserve">Retirement Plan Matching (403(b) — 8% of base salary)</w:t>
            </w:r>
          </w:p>
        </w:tc>
        <w:tc>
          <w:tcPr/>
          <w:p>
            <w:pPr>
              <w:pStyle w:val="Compact"/>
              <w:jc w:val="left"/>
            </w:pPr>
            <w:r>
              <w:t xml:space="preserve">Annual</w:t>
            </w:r>
          </w:p>
        </w:tc>
        <w:tc>
          <w:tcPr/>
          <w:p>
            <w:pPr>
              <w:pStyle w:val="Compact"/>
              <w:jc w:val="left"/>
            </w:pPr>
            <w:r>
              <w:t xml:space="preserve">$7,000.00</w:t>
            </w:r>
          </w:p>
        </w:tc>
        <w:tc>
          <w:tcPr/>
          <w:p>
            <w:pPr>
              <w:pStyle w:val="Compact"/>
              <w:jc w:val="left"/>
            </w:pPr>
            <w:r>
              <w:t xml:space="preserve">$7,000.00</w:t>
            </w:r>
          </w:p>
        </w:tc>
      </w:tr>
      <w:tr>
        <w:tc>
          <w:tcPr/>
          <w:p>
            <w:pPr>
              <w:pStyle w:val="Compact"/>
              <w:jc w:val="left"/>
            </w:pPr>
            <w:r>
              <w:t xml:space="preserve">8</w:t>
            </w:r>
          </w:p>
        </w:tc>
        <w:tc>
          <w:tcPr/>
          <w:p>
            <w:pPr>
              <w:pStyle w:val="Compact"/>
              <w:jc w:val="left"/>
            </w:pPr>
            <w:r>
              <w:t xml:space="preserve">Relocation &amp; Onboarding Package (Housing, Transportation, Orientation)</w:t>
            </w:r>
          </w:p>
        </w:tc>
        <w:tc>
          <w:tcPr/>
          <w:p>
            <w:pPr>
              <w:pStyle w:val="Compact"/>
              <w:jc w:val="left"/>
            </w:pPr>
            <w:r>
              <w:t xml:space="preserve">One-time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9</w:t>
            </w:r>
          </w:p>
        </w:tc>
        <w:tc>
          <w:tcPr/>
          <w:p>
            <w:pPr>
              <w:pStyle w:val="Compact"/>
              <w:jc w:val="left"/>
            </w:pPr>
            <w:r>
              <w:t xml:space="preserve">Administrative &amp; Compliance Fee (Background check, visa sponsorship if applicable, US tax withholding setup)</w:t>
            </w:r>
          </w:p>
        </w:tc>
        <w:tc>
          <w:tcPr/>
          <w:p>
            <w:pPr>
              <w:pStyle w:val="Compact"/>
              <w:jc w:val="left"/>
            </w:pPr>
            <w:r>
              <w:t xml:space="preserve">One-time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10</w:t>
            </w:r>
          </w:p>
        </w:tc>
        <w:tc>
          <w:tcPr/>
          <w:p>
            <w:pPr>
              <w:pStyle w:val="Compact"/>
              <w:jc w:val="left"/>
            </w:pPr>
            <w:r>
              <w:t xml:space="preserve">Contingency &amp; Institutional Surcharge (3% of subtotal)</w:t>
            </w:r>
          </w:p>
        </w:tc>
        <w:tc>
          <w:tcPr/>
          <w:p>
            <w:pPr>
              <w:pStyle w:val="Compact"/>
              <w:jc w:val="left"/>
            </w:pPr>
            <w:r>
              <w:t xml:space="preserve">Annual</w:t>
            </w:r>
          </w:p>
        </w:tc>
        <w:tc>
          <w:tcPr/>
          <w:p>
            <w:pPr>
              <w:pStyle w:val="Compact"/>
              <w:jc w:val="left"/>
            </w:pPr>
            <w:r>
              <w:t xml:space="preserve">$4,066.50</w:t>
            </w:r>
          </w:p>
        </w:tc>
        <w:tc>
          <w:tcPr/>
          <w:p>
            <w:pPr>
              <w:pStyle w:val="Compact"/>
              <w:jc w:val="left"/>
            </w:pPr>
            <w:r>
              <w:t xml:space="preserve">$4,066.50</w:t>
            </w:r>
          </w:p>
        </w:tc>
      </w:tr>
      <w:tr>
        <w:tc>
          <w:tcPr>
            <w:gridSpan w:val="4"/>
          </w:tcPr>
          <w:p>
            <w:pPr>
              <w:pStyle w:val="Compact"/>
              <w:jc w:val="right"/>
            </w:pPr>
            <w:r>
              <w:t xml:space="preserve">GRAND TOTAL — Quotation Estimate QE-2025-LA-0487</w:t>
            </w:r>
          </w:p>
        </w:tc>
        <w:tc>
          <w:tcPr/>
          <w:p>
            <w:pPr>
              <w:pStyle w:val="Compact"/>
              <w:jc w:val="left"/>
            </w:pPr>
            <w:r>
              <w:t xml:space="preserve">$150,976.50</w:t>
            </w:r>
          </w:p>
        </w:tc>
      </w:tr>
    </w:tbl>
    <w:bookmarkEnd w:id="25"/>
    <w:bookmarkStart w:id="26" w:name="payment-schedule"/>
    <w:p>
      <w:pPr>
        <w:pStyle w:val="Heading2"/>
      </w:pPr>
      <w:r>
        <w:t xml:space="preserve">4. Payment Schedule</w:t>
      </w:r>
    </w:p>
    <w:p>
      <w:pPr>
        <w:pStyle w:val="FirstParagraph"/>
      </w:pPr>
      <w:r>
        <w:t xml:space="preserve">Payment for the University Lecturer engagement outlined in this Quotation Estimate shall be disbursed according to the following schedule, consistent with standard fiscal practices in the United States Los Angeles public and private university systems:</w:t>
      </w:r>
    </w:p>
    <w:p>
      <w:pPr>
        <w:numPr>
          <w:ilvl w:val="0"/>
          <w:numId w:val="1002"/>
        </w:numPr>
        <w:pStyle w:val="Compact"/>
      </w:pPr>
      <w:r>
        <w:rPr>
          <w:bCs/>
          <w:b/>
        </w:rPr>
        <w:t xml:space="preserve">Installment 1 (30%):</w:t>
      </w:r>
      <w:r>
        <w:t xml:space="preserve"> </w:t>
      </w:r>
      <w:r>
        <w:t xml:space="preserve">Due upon contract execution and completion of onboarding — $45,292.95</w:t>
      </w:r>
    </w:p>
    <w:p>
      <w:pPr>
        <w:numPr>
          <w:ilvl w:val="0"/>
          <w:numId w:val="1002"/>
        </w:numPr>
        <w:pStyle w:val="Compact"/>
      </w:pPr>
      <w:r>
        <w:rPr>
          <w:bCs/>
          <w:b/>
        </w:rPr>
        <w:t xml:space="preserve">Installment 2 (25%):</w:t>
      </w:r>
      <w:r>
        <w:t xml:space="preserve"> </w:t>
      </w:r>
      <w:r>
        <w:t xml:space="preserve">Due at the conclusion of the Fall semester (December 2025) — $37,744.13</w:t>
      </w:r>
    </w:p>
    <w:p>
      <w:pPr>
        <w:numPr>
          <w:ilvl w:val="0"/>
          <w:numId w:val="1002"/>
        </w:numPr>
        <w:pStyle w:val="Compact"/>
      </w:pPr>
      <w:r>
        <w:rPr>
          <w:bCs/>
          <w:b/>
        </w:rPr>
        <w:t xml:space="preserve">Installment 3 (25%):</w:t>
      </w:r>
      <w:r>
        <w:t xml:space="preserve"> </w:t>
      </w:r>
      <w:r>
        <w:t xml:space="preserve">Due at the conclusion of the Spring semester (March 2026) — $37,744.13</w:t>
      </w:r>
    </w:p>
    <w:p>
      <w:pPr>
        <w:numPr>
          <w:ilvl w:val="0"/>
          <w:numId w:val="1002"/>
        </w:numPr>
        <w:pStyle w:val="Compact"/>
      </w:pPr>
      <w:r>
        <w:rPr>
          <w:bCs/>
          <w:b/>
        </w:rPr>
        <w:t xml:space="preserve">Installment 4 (20%):</w:t>
      </w:r>
      <w:r>
        <w:t xml:space="preserve"> </w:t>
      </w:r>
      <w:r>
        <w:t xml:space="preserve">Due upon final deliverable submission and end-of-year performance review (May 2026) — $30,195.29</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Any engagement initiated after the expiration date shall require a revised Quotation Estimate reflecting current market rates for a University Lecturer in the United States Los Angeles area.</w:t>
      </w:r>
    </w:p>
    <w:p>
      <w:pPr>
        <w:numPr>
          <w:ilvl w:val="0"/>
          <w:numId w:val="1003"/>
        </w:numPr>
        <w:pStyle w:val="Compact"/>
      </w:pPr>
      <w:r>
        <w:t xml:space="preserve">All monetary figures are expressed in United States Dollars (USD) and are inclusive of applicable federal and California state tax withholdings as mandated by the Internal Revenue Service and the California Department of Tax and Fee Administration.</w:t>
      </w:r>
    </w:p>
    <w:p>
      <w:pPr>
        <w:numPr>
          <w:ilvl w:val="0"/>
          <w:numId w:val="1003"/>
        </w:numPr>
        <w:pStyle w:val="Compact"/>
      </w:pPr>
      <w:r>
        <w:t xml:space="preserve">The University Lecturer shall be engaged under a fixed-term academic contract. Early termination by either party requires a written notice period of sixty (60) days, except in cases of gross professional misconduct.</w:t>
      </w:r>
    </w:p>
    <w:p>
      <w:pPr>
        <w:numPr>
          <w:ilvl w:val="0"/>
          <w:numId w:val="1003"/>
        </w:numPr>
        <w:pStyle w:val="Compact"/>
      </w:pPr>
      <w:r>
        <w:t xml:space="preserve">Intellectual property generated during the course of this engagement, including research publications and course materials, shall be jointly owned by the University Lecturer and the client institution, as stipulated in the individual employment agreement.</w:t>
      </w:r>
    </w:p>
    <w:p>
      <w:pPr>
        <w:numPr>
          <w:ilvl w:val="0"/>
          <w:numId w:val="1003"/>
        </w:numPr>
        <w:pStyle w:val="Compact"/>
      </w:pPr>
      <w:r>
        <w:t xml:space="preserve">Whitfield Academic Consulting Group shall not be liable for delays in payment processing attributable to institutional procurement procedures within the United States Los Angeles university system.</w:t>
      </w:r>
    </w:p>
    <w:p>
      <w:pPr>
        <w:numPr>
          <w:ilvl w:val="0"/>
          <w:numId w:val="1003"/>
        </w:numPr>
        <w:pStyle w:val="Compact"/>
      </w:pPr>
      <w:r>
        <w:t xml:space="preserve">This Quotation Estimate does not constitute a guarantee of employment. Final hiring is subject to successful completion of background checks, reference verification, and institutional board approval.</w:t>
      </w:r>
    </w:p>
    <w:p>
      <w:pPr>
        <w:numPr>
          <w:ilvl w:val="0"/>
          <w:numId w:val="1003"/>
        </w:numPr>
        <w:pStyle w:val="Compact"/>
      </w:pPr>
      <w:r>
        <w:t xml:space="preserve">Any modifications to the scope of services described herein must be documented in a written amendment signed by both parties prior to implementation.</w:t>
      </w:r>
    </w:p>
    <w:bookmarkEnd w:id="27"/>
    <w:bookmarkStart w:id="28" w:name="acceptance-and-authorization"/>
    <w:p>
      <w:pPr>
        <w:pStyle w:val="Heading2"/>
      </w:pPr>
      <w:r>
        <w:t xml:space="preserve">6. Acceptance and Authorization</w:t>
      </w:r>
    </w:p>
    <w:p>
      <w:pPr>
        <w:pStyle w:val="FirstParagraph"/>
      </w:pPr>
      <w:r>
        <w:t xml:space="preserve">By signing below, the authorized representative of the client institution acknowledges receipt of this Quotation Estimate and agrees to the terms, conditions, and financial projections set forth for the University Lecturer engagement in the United States Los Angeles academic sector.</w:t>
      </w:r>
    </w:p>
    <w:p>
      <w:pPr>
        <w:pStyle w:val="BodyText"/>
      </w:pPr>
      <w:r>
        <w:rPr>
          <w:bCs/>
          <w:b/>
        </w:rPr>
        <w:t xml:space="preserve">For the Client (Los Angeles State University):</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the Provider (Whitfield Academic Consulting Group):</w:t>
      </w:r>
    </w:p>
    <w:p>
      <w:pPr>
        <w:pStyle w:val="BodyText"/>
      </w:pPr>
      <w:r>
        <w:t xml:space="preserve">Name: Dr. Margaret E. Whitfield</w:t>
      </w:r>
    </w:p>
    <w:p>
      <w:pPr>
        <w:pStyle w:val="BodyText"/>
      </w:pPr>
      <w:r>
        <w:t xml:space="preserve">Title: Director, Academic Personnel Services</w:t>
      </w:r>
    </w:p>
    <w:p>
      <w:pPr>
        <w:pStyle w:val="BodyText"/>
      </w:pPr>
      <w:r>
        <w:t xml:space="preserve">Signature: ______________________________</w:t>
      </w:r>
    </w:p>
    <w:p>
      <w:pPr>
        <w:pStyle w:val="BodyText"/>
      </w:pPr>
      <w:r>
        <w:t xml:space="preserve">Date: ______________________________</w:t>
      </w:r>
    </w:p>
    <w:p>
      <w:pPr>
        <w:pStyle w:val="BodyText"/>
      </w:pPr>
      <w:r>
        <w:t xml:space="preserve">Quotation Estimate QE-2025-LA-0487 — University Lecturer Engagement — United States Los Angeles</w:t>
      </w:r>
    </w:p>
    <w:p>
      <w:pPr>
        <w:pStyle w:val="BodyText"/>
      </w:pPr>
      <w:r>
        <w:t xml:space="preserve">Whitfield Academic Consulting Group • 1200 Wilshire Blvd, Suite 840, Los Angeles, CA 90017 • (213) 555-0192</w:t>
      </w:r>
    </w:p>
    <w:p>
      <w:pPr>
        <w:pStyle w:val="BodyText"/>
      </w:pPr>
      <w:r>
        <w:t xml:space="preserve">This document is confidential and intended solely for the named recipient. Unauthorized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United States Los Angeles</dc:title>
  <dc:creator/>
  <dc:language>en</dc:language>
  <cp:keywords/>
  <dcterms:created xsi:type="dcterms:W3CDTF">2026-10-10T04:52:49Z</dcterms:created>
  <dcterms:modified xsi:type="dcterms:W3CDTF">2026-10-10T04:52:49Z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