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the United States Miami Academic Market</w:t>
      </w:r>
    </w:p>
    <w:bookmarkEnd w:id="20"/>
    <w:p>
      <w:pPr>
        <w:pStyle w:val="BodyText"/>
      </w:pPr>
      <w:r>
        <w:rPr>
          <w:bCs/>
          <w:b/>
        </w:rPr>
        <w:t xml:space="preserve">Quotation Estimate No.:</w:t>
      </w:r>
      <w:r>
        <w:t xml:space="preserve"> </w:t>
      </w:r>
      <w:r>
        <w:t xml:space="preserve">QTE-MIA-2025-0472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Eleanor M. Whitfield</w:t>
      </w:r>
      <w:r>
        <w:br/>
      </w:r>
      <w:r>
        <w:rPr>
          <w:bCs/>
          <w:b/>
        </w:rPr>
        <w:t xml:space="preserve">Title:</w:t>
      </w:r>
      <w:r>
        <w:t xml:space="preserve"> </w:t>
      </w:r>
      <w:r>
        <w:t xml:space="preserve">Senior Academic Consultant</w:t>
      </w:r>
      <w:r>
        <w:br/>
      </w:r>
      <w:r>
        <w:rPr>
          <w:bCs/>
          <w:b/>
        </w:rPr>
        <w:t xml:space="preserve">Contact:</w:t>
      </w:r>
      <w:r>
        <w:t xml:space="preserve"> </w:t>
      </w:r>
      <w:r>
        <w:t xml:space="preserve">e.whitfield@academicconsulting-mia.com</w:t>
      </w:r>
      <w:r>
        <w:br/>
      </w:r>
      <w:r>
        <w:rPr>
          <w:bCs/>
          <w:b/>
        </w:rPr>
        <w:t xml:space="preserve">Phone:</w:t>
      </w:r>
      <w:r>
        <w:t xml:space="preserve"> </w:t>
      </w:r>
      <w:r>
        <w:t xml:space="preserve">(305) 555-0187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financial and professional breakdown for the engagement of a</w:t>
      </w:r>
      <w:r>
        <w:t xml:space="preserve"> </w:t>
      </w:r>
      <w:r>
        <w:t xml:space="preserve">University Lecturer</w:t>
      </w:r>
      <w:r>
        <w:t xml:space="preserve"> </w:t>
      </w:r>
      <w:r>
        <w:t xml:space="preserve">within the academic institutions of</w:t>
      </w:r>
      <w:r>
        <w:t xml:space="preserve"> </w:t>
      </w:r>
      <w:r>
        <w:t xml:space="preserve">United States Miami</w:t>
      </w:r>
      <w:r>
        <w:t xml:space="preserve">. The purpose of this estimate is to outline all associated costs, deliverables, and professional obligations that will be incurred by the hiring institution or department in retaining qualified academic personnel for the upcoming academic year. This</w:t>
      </w:r>
      <w:r>
        <w:t xml:space="preserve"> </w:t>
      </w:r>
      <w:r>
        <w:t xml:space="preserve">Quotation Estimate</w:t>
      </w:r>
      <w:r>
        <w:t xml:space="preserve"> </w:t>
      </w:r>
      <w:r>
        <w:t xml:space="preserve">has been specifically tailored to reflect the current market conditions, salary benchmarks, and institutional requirements prevalent in the</w:t>
      </w:r>
      <w:r>
        <w:t xml:space="preserve"> </w:t>
      </w:r>
      <w:r>
        <w:t xml:space="preserve">United States Miami</w:t>
      </w:r>
      <w:r>
        <w:t xml:space="preserve"> </w:t>
      </w:r>
      <w:r>
        <w:t xml:space="preserve">higher education sector.</w:t>
      </w:r>
    </w:p>
    <w:bookmarkEnd w:id="21"/>
    <w:bookmarkStart w:id="22" w:name="client-institution-details"/>
    <w:p>
      <w:pPr>
        <w:pStyle w:val="Heading2"/>
      </w:pPr>
      <w:r>
        <w:t xml:space="preserve">2. Client / Institution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University of Miami — Department of Business Administration</w:t>
            </w:r>
          </w:p>
        </w:tc>
      </w:tr>
      <w:tr>
        <w:tc>
          <w:tcPr/>
          <w:p>
            <w:pPr>
              <w:pStyle w:val="Compact"/>
              <w:jc w:val="left"/>
            </w:pPr>
            <w:r>
              <w:t xml:space="preserve">Address</w:t>
            </w:r>
          </w:p>
        </w:tc>
        <w:tc>
          <w:tcPr/>
          <w:p>
            <w:pPr>
              <w:pStyle w:val="Compact"/>
              <w:jc w:val="left"/>
            </w:pPr>
            <w:r>
              <w:t xml:space="preserve">1320 Coral Way, Miami, FL 33146, United States</w:t>
            </w:r>
          </w:p>
        </w:tc>
      </w:tr>
      <w:tr>
        <w:tc>
          <w:tcPr/>
          <w:p>
            <w:pPr>
              <w:pStyle w:val="Compact"/>
              <w:jc w:val="left"/>
            </w:pPr>
            <w:r>
              <w:t xml:space="preserve">Point of Contact</w:t>
            </w:r>
          </w:p>
        </w:tc>
        <w:tc>
          <w:tcPr/>
          <w:p>
            <w:pPr>
              <w:pStyle w:val="Compact"/>
              <w:jc w:val="left"/>
            </w:pPr>
            <w:r>
              <w:t xml:space="preserve">Dr. James R. Calloway, Department Chair</w:t>
            </w:r>
          </w:p>
        </w:tc>
      </w:tr>
      <w:tr>
        <w:tc>
          <w:tcPr/>
          <w:p>
            <w:pPr>
              <w:pStyle w:val="Compact"/>
              <w:jc w:val="left"/>
            </w:pPr>
            <w:r>
              <w:t xml:space="preserve">Engagement Period</w:t>
            </w:r>
          </w:p>
        </w:tc>
        <w:tc>
          <w:tcPr/>
          <w:p>
            <w:pPr>
              <w:pStyle w:val="Compact"/>
              <w:jc w:val="left"/>
            </w:pPr>
            <w:r>
              <w:t xml:space="preserve">August 2025 through May 2026 (Full Academic Year)</w:t>
            </w:r>
          </w:p>
        </w:tc>
      </w:tr>
      <w:tr>
        <w:tc>
          <w:tcPr/>
          <w:p>
            <w:pPr>
              <w:pStyle w:val="Compact"/>
              <w:jc w:val="left"/>
            </w:pPr>
            <w:r>
              <w:t xml:space="preserve">Position Title</w:t>
            </w:r>
          </w:p>
        </w:tc>
        <w:tc>
          <w:tcPr/>
          <w:p>
            <w:pPr>
              <w:pStyle w:val="Compact"/>
              <w:jc w:val="left"/>
            </w:pPr>
            <w:r>
              <w:t xml:space="preserve">University Lecturer — Corporate Finance &amp; Strategic Management</w:t>
            </w:r>
          </w:p>
        </w:tc>
      </w:tr>
    </w:tbl>
    <w:bookmarkEnd w:id="22"/>
    <w:bookmarkStart w:id="23" w:name="X006f4dcc253f47498b779213030399b94fc346d"/>
    <w:p>
      <w:pPr>
        <w:pStyle w:val="Heading2"/>
      </w:pPr>
      <w:r>
        <w:t xml:space="preserve">3. Scope of Work — University Lecturer Responsibilities</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United States Miami</w:t>
      </w:r>
      <w:r>
        <w:t xml:space="preserve"> </w:t>
      </w:r>
      <w:r>
        <w:t xml:space="preserve">academic framework:</w:t>
      </w:r>
    </w:p>
    <w:p>
      <w:pPr>
        <w:numPr>
          <w:ilvl w:val="0"/>
          <w:numId w:val="1001"/>
        </w:numPr>
        <w:pStyle w:val="Compact"/>
      </w:pPr>
      <w:r>
        <w:t xml:space="preserve">Deliver a minimum of 36 contact hours per week across two undergraduate courses and one graduate seminar in the fields of Corporate Finance, Strategic Management, and Financial Risk Analysis.</w:t>
      </w:r>
    </w:p>
    <w:p>
      <w:pPr>
        <w:numPr>
          <w:ilvl w:val="0"/>
          <w:numId w:val="1001"/>
        </w:numPr>
        <w:pStyle w:val="Compact"/>
      </w:pPr>
      <w:r>
        <w:t xml:space="preserve">Develop and update course syllabi, lecture materials, case studies, and examination papers in alignment with the institution's accreditation standards and the Florida Board of Governors' academic guidelines.</w:t>
      </w:r>
    </w:p>
    <w:p>
      <w:pPr>
        <w:numPr>
          <w:ilvl w:val="0"/>
          <w:numId w:val="1001"/>
        </w:numPr>
        <w:pStyle w:val="Compact"/>
      </w:pPr>
      <w:r>
        <w:t xml:space="preserve">Provide weekly office hours for student consultation, academic advising, and mentorship, totaling no fewer than six hours per week.</w:t>
      </w:r>
    </w:p>
    <w:p>
      <w:pPr>
        <w:numPr>
          <w:ilvl w:val="0"/>
          <w:numId w:val="1001"/>
        </w:numPr>
        <w:pStyle w:val="Compact"/>
      </w:pPr>
      <w:r>
        <w:t xml:space="preserve">Participate in departmental meetings, curriculum review boards, and institutional governance committees as required by the</w:t>
      </w:r>
      <w:r>
        <w:t xml:space="preserve"> </w:t>
      </w:r>
      <w:r>
        <w:t xml:space="preserve">University Lecturer</w:t>
      </w:r>
      <w:r>
        <w:t xml:space="preserve"> </w:t>
      </w:r>
      <w:r>
        <w:t xml:space="preserve">contract.</w:t>
      </w:r>
    </w:p>
    <w:p>
      <w:pPr>
        <w:numPr>
          <w:ilvl w:val="0"/>
          <w:numId w:val="1001"/>
        </w:numPr>
        <w:pStyle w:val="Compact"/>
      </w:pPr>
      <w:r>
        <w:t xml:space="preserve">Conduct a minimum of two peer-reviewed research publications per academic year and present findings at at least one national or international academic conference.</w:t>
      </w:r>
    </w:p>
    <w:p>
      <w:pPr>
        <w:numPr>
          <w:ilvl w:val="0"/>
          <w:numId w:val="1001"/>
        </w:numPr>
        <w:pStyle w:val="Compact"/>
      </w:pPr>
      <w:r>
        <w:t xml:space="preserve">Supervise a maximum of four graduate thesis or dissertation candidates per year, providing structured guidance and regular progress evaluations.</w:t>
      </w:r>
    </w:p>
    <w:p>
      <w:pPr>
        <w:numPr>
          <w:ilvl w:val="0"/>
          <w:numId w:val="1001"/>
        </w:numPr>
        <w:pStyle w:val="Compact"/>
      </w:pPr>
      <w:r>
        <w:t xml:space="preserve">Collaborate with industry partners in the</w:t>
      </w:r>
      <w:r>
        <w:t xml:space="preserve"> </w:t>
      </w:r>
      <w:r>
        <w:t xml:space="preserve">United States Miami</w:t>
      </w:r>
      <w:r>
        <w:t xml:space="preserve"> </w:t>
      </w:r>
      <w:r>
        <w:t xml:space="preserve">metropolitan area to develop applied research projects and internship pipelines for students.</w:t>
      </w:r>
    </w:p>
    <w:p>
      <w:pPr>
        <w:numPr>
          <w:ilvl w:val="0"/>
          <w:numId w:val="1001"/>
        </w:numPr>
        <w:pStyle w:val="Compact"/>
      </w:pPr>
      <w:r>
        <w:t xml:space="preserve">Comply with all institutional policies, the Florida Statutes governing higher education, and applicable federal regulations regarding academic employment in the</w:t>
      </w:r>
      <w:r>
        <w:t xml:space="preserve"> </w:t>
      </w:r>
      <w:r>
        <w:t xml:space="preserve">United States</w:t>
      </w:r>
      <w:r>
        <w:t xml:space="preserve">.</w:t>
      </w:r>
    </w:p>
    <w:bookmarkEnd w:id="23"/>
    <w:bookmarkStart w:id="24" w:name="itemized-cost-breakdown"/>
    <w:p>
      <w:pPr>
        <w:pStyle w:val="Heading2"/>
      </w:pPr>
      <w:r>
        <w:t xml:space="preserve">4. Itemized Cost Breakdown</w:t>
      </w:r>
    </w:p>
    <w:p>
      <w:pPr>
        <w:pStyle w:val="FirstParagraph"/>
      </w:pPr>
      <w:r>
        <w:t xml:space="preserve">The following table presents the detailed financial components of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United States Miami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Base Annual Salary — University Lecturer (PhD-qualified)</w:t>
            </w:r>
          </w:p>
        </w:tc>
        <w:tc>
          <w:tcPr/>
          <w:p>
            <w:pPr>
              <w:pStyle w:val="Compact"/>
              <w:jc w:val="left"/>
            </w:pPr>
            <w:r>
              <w:t xml:space="preserve">Year</w:t>
            </w:r>
          </w:p>
        </w:tc>
        <w:tc>
          <w:tcPr/>
          <w:p>
            <w:pPr>
              <w:pStyle w:val="Compact"/>
              <w:jc w:val="left"/>
            </w:pPr>
            <w:r>
              <w:t xml:space="preserve">92,000.00</w:t>
            </w:r>
          </w:p>
        </w:tc>
        <w:tc>
          <w:tcPr/>
          <w:p>
            <w:pPr>
              <w:pStyle w:val="Compact"/>
              <w:jc w:val="left"/>
            </w:pPr>
            <w:r>
              <w:t xml:space="preserve">1</w:t>
            </w:r>
          </w:p>
        </w:tc>
        <w:tc>
          <w:tcPr/>
          <w:p>
            <w:pPr>
              <w:pStyle w:val="Compact"/>
              <w:jc w:val="left"/>
            </w:pPr>
            <w:r>
              <w:t xml:space="preserve">92,000.00</w:t>
            </w:r>
          </w:p>
        </w:tc>
      </w:tr>
      <w:tr>
        <w:tc>
          <w:tcPr/>
          <w:p>
            <w:pPr>
              <w:pStyle w:val="Compact"/>
              <w:jc w:val="left"/>
            </w:pPr>
            <w:r>
              <w:t xml:space="preserve">1.2</w:t>
            </w:r>
          </w:p>
        </w:tc>
        <w:tc>
          <w:tcPr/>
          <w:p>
            <w:pPr>
              <w:pStyle w:val="Compact"/>
              <w:jc w:val="left"/>
            </w:pPr>
            <w:r>
              <w:t xml:space="preserve">Miami Metropolitan Area Cost-of-Living Adjustment</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1.3</w:t>
            </w:r>
          </w:p>
        </w:tc>
        <w:tc>
          <w:tcPr/>
          <w:p>
            <w:pPr>
              <w:pStyle w:val="Compact"/>
              <w:jc w:val="left"/>
            </w:pPr>
            <w:r>
              <w:t xml:space="preserve">Research &amp; Publication Stipend</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1.4</w:t>
            </w:r>
          </w:p>
        </w:tc>
        <w:tc>
          <w:tcPr/>
          <w:p>
            <w:pPr>
              <w:pStyle w:val="Compact"/>
              <w:jc w:val="left"/>
            </w:pPr>
            <w:r>
              <w:t xml:space="preserve">Graduate Supervision Allowance (4 students)</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2.1</w:t>
            </w:r>
          </w:p>
        </w:tc>
        <w:tc>
          <w:tcPr/>
          <w:p>
            <w:pPr>
              <w:pStyle w:val="Compact"/>
              <w:jc w:val="left"/>
            </w:pPr>
            <w:r>
              <w:t xml:space="preserve">Health, Dental &amp; Vision Insurance (Employer Contribution)</w:t>
            </w:r>
          </w:p>
        </w:tc>
        <w:tc>
          <w:tcPr/>
          <w:p>
            <w:pPr>
              <w:pStyle w:val="Compact"/>
              <w:jc w:val="left"/>
            </w:pPr>
            <w:r>
              <w:t xml:space="preserve">Year</w:t>
            </w:r>
          </w:p>
        </w:tc>
        <w:tc>
          <w:tcPr/>
          <w:p>
            <w:pPr>
              <w:pStyle w:val="Compact"/>
              <w:jc w:val="left"/>
            </w:pPr>
            <w:r>
              <w:t xml:space="preserve">14,600.00</w:t>
            </w:r>
          </w:p>
        </w:tc>
        <w:tc>
          <w:tcPr/>
          <w:p>
            <w:pPr>
              <w:pStyle w:val="Compact"/>
              <w:jc w:val="left"/>
            </w:pPr>
            <w:r>
              <w:t xml:space="preserve">1</w:t>
            </w:r>
          </w:p>
        </w:tc>
        <w:tc>
          <w:tcPr/>
          <w:p>
            <w:pPr>
              <w:pStyle w:val="Compact"/>
              <w:jc w:val="left"/>
            </w:pPr>
            <w:r>
              <w:t xml:space="preserve">14,600.00</w:t>
            </w:r>
          </w:p>
        </w:tc>
      </w:tr>
      <w:tr>
        <w:tc>
          <w:tcPr/>
          <w:p>
            <w:pPr>
              <w:pStyle w:val="Compact"/>
              <w:jc w:val="left"/>
            </w:pPr>
            <w:r>
              <w:t xml:space="preserve">2.2</w:t>
            </w:r>
          </w:p>
        </w:tc>
        <w:tc>
          <w:tcPr/>
          <w:p>
            <w:pPr>
              <w:pStyle w:val="Compact"/>
              <w:jc w:val="left"/>
            </w:pPr>
            <w:r>
              <w:t xml:space="preserve">403(b) Retirement Plan Matching (6% of base)</w:t>
            </w:r>
          </w:p>
        </w:tc>
        <w:tc>
          <w:tcPr/>
          <w:p>
            <w:pPr>
              <w:pStyle w:val="Compact"/>
              <w:jc w:val="left"/>
            </w:pPr>
            <w:r>
              <w:t xml:space="preserve">Year</w:t>
            </w:r>
          </w:p>
        </w:tc>
        <w:tc>
          <w:tcPr/>
          <w:p>
            <w:pPr>
              <w:pStyle w:val="Compact"/>
              <w:jc w:val="left"/>
            </w:pPr>
            <w:r>
              <w:t xml:space="preserve">5,520.00</w:t>
            </w:r>
          </w:p>
        </w:tc>
        <w:tc>
          <w:tcPr/>
          <w:p>
            <w:pPr>
              <w:pStyle w:val="Compact"/>
              <w:jc w:val="left"/>
            </w:pPr>
            <w:r>
              <w:t xml:space="preserve">1</w:t>
            </w:r>
          </w:p>
        </w:tc>
        <w:tc>
          <w:tcPr/>
          <w:p>
            <w:pPr>
              <w:pStyle w:val="Compact"/>
              <w:jc w:val="left"/>
            </w:pPr>
            <w:r>
              <w:t xml:space="preserve">5,520.00</w:t>
            </w:r>
          </w:p>
        </w:tc>
      </w:tr>
      <w:tr>
        <w:tc>
          <w:tcPr/>
          <w:p>
            <w:pPr>
              <w:pStyle w:val="Compact"/>
              <w:jc w:val="left"/>
            </w:pPr>
            <w:r>
              <w:t xml:space="preserve">2.3</w:t>
            </w:r>
          </w:p>
        </w:tc>
        <w:tc>
          <w:tcPr/>
          <w:p>
            <w:pPr>
              <w:pStyle w:val="Compact"/>
              <w:jc w:val="left"/>
            </w:pPr>
            <w:r>
              <w:t xml:space="preserve">Workers' Compensation &amp; Unemployment Insurance</w:t>
            </w:r>
          </w:p>
        </w:tc>
        <w:tc>
          <w:tcPr/>
          <w:p>
            <w:pPr>
              <w:pStyle w:val="Compact"/>
              <w:jc w:val="left"/>
            </w:pPr>
            <w:r>
              <w:t xml:space="preserve">Year</w:t>
            </w:r>
          </w:p>
        </w:tc>
        <w:tc>
          <w:tcPr/>
          <w:p>
            <w:pPr>
              <w:pStyle w:val="Compact"/>
              <w:jc w:val="left"/>
            </w:pPr>
            <w:r>
              <w:t xml:space="preserve">3,100.00</w:t>
            </w:r>
          </w:p>
        </w:tc>
        <w:tc>
          <w:tcPr/>
          <w:p>
            <w:pPr>
              <w:pStyle w:val="Compact"/>
              <w:jc w:val="left"/>
            </w:pPr>
            <w:r>
              <w:t xml:space="preserve">1</w:t>
            </w:r>
          </w:p>
        </w:tc>
        <w:tc>
          <w:tcPr/>
          <w:p>
            <w:pPr>
              <w:pStyle w:val="Compact"/>
              <w:jc w:val="left"/>
            </w:pPr>
            <w:r>
              <w:t xml:space="preserve">3,100.00</w:t>
            </w:r>
          </w:p>
        </w:tc>
      </w:tr>
      <w:tr>
        <w:tc>
          <w:tcPr/>
          <w:p>
            <w:pPr>
              <w:pStyle w:val="Compact"/>
              <w:jc w:val="left"/>
            </w:pPr>
            <w:r>
              <w:t xml:space="preserve">3.1</w:t>
            </w:r>
          </w:p>
        </w:tc>
        <w:tc>
          <w:tcPr/>
          <w:p>
            <w:pPr>
              <w:pStyle w:val="Compact"/>
              <w:jc w:val="left"/>
            </w:pPr>
            <w:r>
              <w:t xml:space="preserve">Relocation &amp; Onboarding Package (if applicable)</w:t>
            </w:r>
          </w:p>
        </w:tc>
        <w:tc>
          <w:tcPr/>
          <w:p>
            <w:pPr>
              <w:pStyle w:val="Compact"/>
              <w:jc w:val="left"/>
            </w:pPr>
            <w:r>
              <w:t xml:space="preserve">One-time</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3.2</w:t>
            </w:r>
          </w:p>
        </w:tc>
        <w:tc>
          <w:tcPr/>
          <w:p>
            <w:pPr>
              <w:pStyle w:val="Compact"/>
              <w:jc w:val="left"/>
            </w:pPr>
            <w:r>
              <w:t xml:space="preserve">Professional Development &amp; Conference Travel Budget</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3.3</w:t>
            </w:r>
          </w:p>
        </w:tc>
        <w:tc>
          <w:tcPr/>
          <w:p>
            <w:pPr>
              <w:pStyle w:val="Compact"/>
              <w:jc w:val="left"/>
            </w:pPr>
            <w:r>
              <w:t xml:space="preserve">Office Equipment, Software Licenses &amp; Lab Access</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4.1</w:t>
            </w:r>
          </w:p>
        </w:tc>
        <w:tc>
          <w:tcPr/>
          <w:p>
            <w:pPr>
              <w:pStyle w:val="Compact"/>
              <w:jc w:val="left"/>
            </w:pPr>
            <w:r>
              <w:t xml:space="preserve">Recruitment &amp; Placement Fee (3% of base salary)</w:t>
            </w:r>
          </w:p>
        </w:tc>
        <w:tc>
          <w:tcPr/>
          <w:p>
            <w:pPr>
              <w:pStyle w:val="Compact"/>
              <w:jc w:val="left"/>
            </w:pPr>
            <w:r>
              <w:t xml:space="preserve">One-time</w:t>
            </w:r>
          </w:p>
        </w:tc>
        <w:tc>
          <w:tcPr/>
          <w:p>
            <w:pPr>
              <w:pStyle w:val="Compact"/>
              <w:jc w:val="left"/>
            </w:pPr>
            <w:r>
              <w:t xml:space="preserve">2,760.00</w:t>
            </w:r>
          </w:p>
        </w:tc>
        <w:tc>
          <w:tcPr/>
          <w:p>
            <w:pPr>
              <w:pStyle w:val="Compact"/>
              <w:jc w:val="left"/>
            </w:pPr>
            <w:r>
              <w:t xml:space="preserve">1</w:t>
            </w:r>
          </w:p>
        </w:tc>
        <w:tc>
          <w:tcPr/>
          <w:p>
            <w:pPr>
              <w:pStyle w:val="Compact"/>
              <w:jc w:val="left"/>
            </w:pPr>
            <w:r>
              <w:t xml:space="preserve">2,760.00</w:t>
            </w:r>
          </w:p>
        </w:tc>
      </w:tr>
      <w:tr>
        <w:tc>
          <w:tcPr/>
          <w:p>
            <w:pPr>
              <w:pStyle w:val="Compact"/>
              <w:jc w:val="left"/>
            </w:pPr>
            <w:r>
              <w:t xml:space="preserve">4.2</w:t>
            </w:r>
          </w:p>
        </w:tc>
        <w:tc>
          <w:tcPr/>
          <w:p>
            <w:pPr>
              <w:pStyle w:val="Compact"/>
              <w:jc w:val="left"/>
            </w:pPr>
            <w:r>
              <w:t xml:space="preserve">Background Check, Credential Verification &amp; Visa Support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right"/>
            </w:pPr>
            <w:r>
              <w:t xml:space="preserve">TOTAL ESTIMATED COST (USD)</w:t>
            </w:r>
          </w:p>
        </w:tc>
        <w:tc>
          <w:tcPr/>
          <w:p>
            <w:pPr>
              <w:pStyle w:val="Compact"/>
              <w:jc w:val="left"/>
            </w:pPr>
            <w:r>
              <w:t xml:space="preserve">160,080.00</w:t>
            </w:r>
          </w:p>
        </w:tc>
      </w:tr>
    </w:tbl>
    <w:bookmarkEnd w:id="24"/>
    <w:bookmarkStart w:id="25" w:name="payment-terms-schedule"/>
    <w:p>
      <w:pPr>
        <w:pStyle w:val="Heading2"/>
      </w:pPr>
      <w:r>
        <w:t xml:space="preserve">5. Payment Terms &amp; Schedule</w:t>
      </w:r>
    </w:p>
    <w:p>
      <w:pPr>
        <w:pStyle w:val="FirstParagraph"/>
      </w:pPr>
      <w:r>
        <w:t xml:space="preserve">Payment for the</w:t>
      </w:r>
      <w:r>
        <w:t xml:space="preserve"> </w:t>
      </w:r>
      <w:r>
        <w:t xml:space="preserve">University Lecturer</w:t>
      </w:r>
      <w:r>
        <w:t xml:space="preserve"> </w:t>
      </w:r>
      <w:r>
        <w:t xml:space="preserve">engagement outlined in this</w:t>
      </w:r>
      <w:r>
        <w:t xml:space="preserve"> </w:t>
      </w:r>
      <w:r>
        <w:t xml:space="preserve">Quotation Estimate</w:t>
      </w:r>
      <w:r>
        <w:t xml:space="preserve"> </w:t>
      </w:r>
      <w:r>
        <w:t xml:space="preserve">shall be processed in accordance with the following schedule, consistent with standard payroll practices in the</w:t>
      </w:r>
      <w:r>
        <w:t xml:space="preserve"> </w:t>
      </w:r>
      <w:r>
        <w:t xml:space="preserve">United States Miami</w:t>
      </w:r>
      <w:r>
        <w:t xml:space="preserve"> </w:t>
      </w:r>
      <w:r>
        <w:t xml:space="preserve">academic sector:</w:t>
      </w:r>
    </w:p>
    <w:p>
      <w:pPr>
        <w:numPr>
          <w:ilvl w:val="0"/>
          <w:numId w:val="1002"/>
        </w:numPr>
        <w:pStyle w:val="Compact"/>
      </w:pPr>
      <w:r>
        <w:rPr>
          <w:bCs/>
          <w:b/>
        </w:rPr>
        <w:t xml:space="preserve">Base Salary:</w:t>
      </w:r>
      <w:r>
        <w:t xml:space="preserve"> </w:t>
      </w:r>
      <w:r>
        <w:t xml:space="preserve">Disbursed bi-weekly via direct deposit, net of applicable federal, state (Florida), and local tax withholdings. Florida imposes no state income tax; however, federal withholding and FICA contributions shall apply as mandated by the Internal Revenue Service.</w:t>
      </w:r>
    </w:p>
    <w:p>
      <w:pPr>
        <w:numPr>
          <w:ilvl w:val="0"/>
          <w:numId w:val="1002"/>
        </w:numPr>
        <w:pStyle w:val="Compact"/>
      </w:pPr>
      <w:r>
        <w:rPr>
          <w:bCs/>
          <w:b/>
        </w:rPr>
        <w:t xml:space="preserve">Stipends &amp; Allowances:</w:t>
      </w:r>
      <w:r>
        <w:t xml:space="preserve"> </w:t>
      </w:r>
      <w:r>
        <w:t xml:space="preserve">Paid monthly in arrears, subject to the</w:t>
      </w:r>
      <w:r>
        <w:t xml:space="preserve"> </w:t>
      </w:r>
      <w:r>
        <w:t xml:space="preserve">University Lecturer</w:t>
      </w:r>
      <w:r>
        <w:t xml:space="preserve"> </w:t>
      </w:r>
      <w:r>
        <w:t xml:space="preserve">fulfilling the corresponding performance milestones.</w:t>
      </w:r>
    </w:p>
    <w:p>
      <w:pPr>
        <w:numPr>
          <w:ilvl w:val="0"/>
          <w:numId w:val="1002"/>
        </w:numPr>
        <w:pStyle w:val="Compact"/>
      </w:pPr>
      <w:r>
        <w:rPr>
          <w:bCs/>
          <w:b/>
        </w:rPr>
        <w:t xml:space="preserve">Relocation Package:</w:t>
      </w:r>
      <w:r>
        <w:t xml:space="preserve"> </w:t>
      </w:r>
      <w:r>
        <w:t xml:space="preserve">Disbursed in two equal installments — 50% upon execution of the employment contract and 50% upon the</w:t>
      </w:r>
      <w:r>
        <w:t xml:space="preserve"> </w:t>
      </w:r>
      <w:r>
        <w:t xml:space="preserve">University Lecturer</w:t>
      </w:r>
      <w:r>
        <w:t xml:space="preserve">'s confirmed relocation to the</w:t>
      </w:r>
      <w:r>
        <w:t xml:space="preserve"> </w:t>
      </w:r>
      <w:r>
        <w:t xml:space="preserve">United States Miami</w:t>
      </w:r>
      <w:r>
        <w:t xml:space="preserve"> </w:t>
      </w:r>
      <w:r>
        <w:t xml:space="preserve">campus.</w:t>
      </w:r>
    </w:p>
    <w:p>
      <w:pPr>
        <w:numPr>
          <w:ilvl w:val="0"/>
          <w:numId w:val="1002"/>
        </w:numPr>
        <w:pStyle w:val="Compact"/>
      </w:pPr>
      <w:r>
        <w:rPr>
          <w:bCs/>
          <w:b/>
        </w:rPr>
        <w:t xml:space="preserve">Recruitment &amp; Placement Fee:</w:t>
      </w:r>
      <w:r>
        <w:t xml:space="preserve"> </w:t>
      </w:r>
      <w:r>
        <w:t xml:space="preserve">Payable within thirty (30) calendar days of the</w:t>
      </w:r>
      <w:r>
        <w:t xml:space="preserve"> </w:t>
      </w:r>
      <w:r>
        <w:t xml:space="preserve">University Lecturer</w:t>
      </w:r>
      <w:r>
        <w:t xml:space="preserve">'s first day of active duty.</w:t>
      </w:r>
    </w:p>
    <w:bookmarkEnd w:id="25"/>
    <w:bookmarkStart w:id="26" w:name="terms-conditions-assumptions"/>
    <w:p>
      <w:pPr>
        <w:pStyle w:val="Heading2"/>
      </w:pPr>
      <w:r>
        <w:t xml:space="preserve">6. Terms, Conditions &amp; Assumptions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days from the date of issue. Beyond this period, all rates and figures are subject to revision based on prevailing market conditions in the</w:t>
      </w:r>
      <w:r>
        <w:t xml:space="preserve"> </w:t>
      </w:r>
      <w:r>
        <w:t xml:space="preserve">United States Miami</w:t>
      </w:r>
      <w:r>
        <w:t xml:space="preserve"> </w:t>
      </w:r>
      <w:r>
        <w:t xml:space="preserve">academic labor market.</w:t>
      </w:r>
    </w:p>
    <w:p>
      <w:pPr>
        <w:numPr>
          <w:ilvl w:val="0"/>
          <w:numId w:val="1003"/>
        </w:numPr>
        <w:pStyle w:val="Compact"/>
      </w:pPr>
      <w:r>
        <w:t xml:space="preserve">The</w:t>
      </w:r>
      <w:r>
        <w:t xml:space="preserve"> </w:t>
      </w:r>
      <w:r>
        <w:t xml:space="preserve">University Lecturer</w:t>
      </w:r>
      <w:r>
        <w:t xml:space="preserve"> </w:t>
      </w:r>
      <w:r>
        <w:t xml:space="preserve">must hold a terminal degree (PhD or equivalent) in the relevant discipline and possess a minimum of three (3) years of post-doctoral teaching or research experience.</w:t>
      </w:r>
    </w:p>
    <w:p>
      <w:pPr>
        <w:numPr>
          <w:ilvl w:val="0"/>
          <w:numId w:val="1003"/>
        </w:numPr>
        <w:pStyle w:val="Compact"/>
      </w:pPr>
      <w:r>
        <w:t xml:space="preserve">All employment terms are subject to compliance with the United States Equal Employment Opportunity (EEO) regulations, the Americans with Disabilities Act (ADA), and the Florida Civil Rights Act.</w:t>
      </w:r>
    </w:p>
    <w:p>
      <w:pPr>
        <w:numPr>
          <w:ilvl w:val="0"/>
          <w:numId w:val="1003"/>
        </w:numPr>
        <w:pStyle w:val="Compact"/>
      </w:pPr>
      <w:r>
        <w:t xml:space="preserve">This</w:t>
      </w:r>
      <w:r>
        <w:t xml:space="preserve"> </w:t>
      </w:r>
      <w:r>
        <w:t xml:space="preserve">Quotation Estimate</w:t>
      </w:r>
      <w:r>
        <w:t xml:space="preserve"> </w:t>
      </w:r>
      <w:r>
        <w:t xml:space="preserve">does not constitute a binding employment contract. A formal offer letter and employment agreement, reviewed by the institution's legal counsel, shall govern the final terms of the</w:t>
      </w:r>
      <w:r>
        <w:t xml:space="preserve"> </w:t>
      </w:r>
      <w:r>
        <w:t xml:space="preserve">University Lecturer</w:t>
      </w:r>
      <w:r>
        <w:t xml:space="preserve">'s engagement.</w:t>
      </w:r>
    </w:p>
    <w:p>
      <w:pPr>
        <w:numPr>
          <w:ilvl w:val="0"/>
          <w:numId w:val="1003"/>
        </w:numPr>
        <w:pStyle w:val="Compact"/>
      </w:pPr>
      <w:r>
        <w:t xml:space="preserve">Any changes to the scope of work, additional course assignments, or extended supervision responsibilities beyond those specified herein shall require a written amendment to this</w:t>
      </w:r>
      <w:r>
        <w:t xml:space="preserve"> </w:t>
      </w:r>
      <w:r>
        <w:t xml:space="preserve">Quotation Estimate</w:t>
      </w:r>
      <w:r>
        <w:t xml:space="preserve"> </w:t>
      </w:r>
      <w:r>
        <w:t xml:space="preserve">and a corresponding adjustment to the financial figures.</w:t>
      </w:r>
    </w:p>
    <w:p>
      <w:pPr>
        <w:numPr>
          <w:ilvl w:val="0"/>
          <w:numId w:val="1003"/>
        </w:numPr>
        <w:pStyle w:val="Compact"/>
      </w:pPr>
      <w:r>
        <w:t xml:space="preserve">The institution reserves the right to conduct an annual performance review of the</w:t>
      </w:r>
      <w:r>
        <w:t xml:space="preserve"> </w:t>
      </w:r>
      <w:r>
        <w:t xml:space="preserve">University Lecturer</w:t>
      </w:r>
      <w:r>
        <w:t xml:space="preserve">, the results of which may influence salary adjustments, contract renewal, or professional development planning for the subsequent academic year in</w:t>
      </w:r>
      <w:r>
        <w:t xml:space="preserve"> </w:t>
      </w:r>
      <w:r>
        <w:t xml:space="preserve">United States Miami</w:t>
      </w:r>
      <w:r>
        <w:t xml:space="preserve">.</w:t>
      </w:r>
    </w:p>
    <w:p>
      <w:pPr>
        <w:numPr>
          <w:ilvl w:val="0"/>
          <w:numId w:val="1003"/>
        </w:numPr>
        <w:pStyle w:val="Compact"/>
      </w:pPr>
      <w:r>
        <w:t xml:space="preserve">All intellectual property generated by the</w:t>
      </w:r>
      <w:r>
        <w:t xml:space="preserve"> </w:t>
      </w:r>
      <w:r>
        <w:t xml:space="preserve">University Lecturer</w:t>
      </w:r>
      <w:r>
        <w:t xml:space="preserve"> </w:t>
      </w:r>
      <w:r>
        <w:t xml:space="preserve">during the course of employment shall be governed by the institution's IP policy and applicable United States federal patent and copyright law.</w:t>
      </w:r>
    </w:p>
    <w:bookmarkEnd w:id="26"/>
    <w:bookmarkStart w:id="27" w:name="acceptance-authorization"/>
    <w:p>
      <w:pPr>
        <w:pStyle w:val="Heading2"/>
      </w:pPr>
      <w:r>
        <w:t xml:space="preserve">7. Acceptance &amp; Authorization</w:t>
      </w:r>
    </w:p>
    <w:p>
      <w:pPr>
        <w:pStyle w:val="FirstParagraph"/>
      </w:pPr>
      <w:r>
        <w:t xml:space="preserve">By signing below, the authorized representative of the institution acknowledges receipt of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United States Miami</w:t>
      </w:r>
      <w:r>
        <w:t xml:space="preserve"> </w:t>
      </w:r>
      <w:r>
        <w:t xml:space="preserve">and confirms that the financial figures, scope of work, and terms outlined herein have been reviewed and are acceptable for further processing into a formal employment agreement.</w:t>
      </w:r>
    </w:p>
    <w:bookmarkEnd w:id="27"/>
    <w:p>
      <w:pPr>
        <w:pStyle w:val="BodyText"/>
      </w:pPr>
      <w:r>
        <w:rPr>
          <w:bCs/>
          <w:b/>
        </w:rPr>
        <w:t xml:space="preserve">Prepared By:</w:t>
      </w:r>
      <w:r>
        <w:br/>
      </w:r>
      <w:r>
        <w:t xml:space="preserve">Dr. Eleanor M. Whitfield</w:t>
      </w:r>
      <w:r>
        <w:br/>
      </w:r>
      <w:r>
        <w:t xml:space="preserve">Senior Academic Consultant</w:t>
      </w:r>
      <w:r>
        <w:br/>
      </w:r>
      <w:r>
        <w:t xml:space="preserve">Date: ______________________</w:t>
      </w:r>
    </w:p>
    <w:p>
      <w:pPr>
        <w:pStyle w:val="BodyText"/>
      </w:pPr>
      <w:r>
        <w:rPr>
          <w:bCs/>
          <w:b/>
        </w:rPr>
        <w:t xml:space="preserve">Accepted By (Institution):</w:t>
      </w:r>
      <w:r>
        <w:br/>
      </w:r>
      <w:r>
        <w:t xml:space="preserve">Dr. James R. Calloway</w:t>
      </w:r>
      <w:r>
        <w:br/>
      </w:r>
      <w:r>
        <w:t xml:space="preserve">Department Chair, Business Administration</w:t>
      </w:r>
      <w:r>
        <w:br/>
      </w:r>
      <w:r>
        <w:t xml:space="preserve">Date: ______________________</w:t>
      </w:r>
    </w:p>
    <w:p>
      <w:pPr>
        <w:pStyle w:val="BodyText"/>
      </w:pPr>
      <w:r>
        <w:t xml:space="preserve">Quotation Estimate No. QTE-MIA-2025-0472 — University Lecturer Engagement — United States Miami</w:t>
      </w:r>
      <w:r>
        <w:br/>
      </w:r>
      <w:r>
        <w:t xml:space="preserve">This document is confidential and intended solely for the use of the named institution. Unauthorized reproduction or distribution is prohibited.</w:t>
      </w:r>
      <w:r>
        <w:br/>
      </w:r>
      <w:r>
        <w:t xml:space="preserve">© 2025 Academic Consulting Services, Miami, FL.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United States Miami</dc:title>
  <dc:creator/>
  <dc:language>en</dc:language>
  <cp:keywords/>
  <dcterms:created xsi:type="dcterms:W3CDTF">2026-10-10T03:51:38Z</dcterms:created>
  <dcterms:modified xsi:type="dcterms:W3CDTF">2026-10-10T03:51:38Z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