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UX UI Designer Services</w:t>
      </w:r>
    </w:p>
    <w:p>
      <w:pPr>
        <w:pStyle w:val="BodyText"/>
      </w:pPr>
      <w:r>
        <w:t xml:space="preserve">Prepared for Clients in Brazil Brasília</w:t>
      </w:r>
    </w:p>
    <w:bookmarkEnd w:id="20"/>
    <w:p>
      <w:pPr>
        <w:pStyle w:val="BodyText"/>
      </w:pPr>
      <w:r>
        <w:rPr>
          <w:bCs/>
          <w:b/>
        </w:rPr>
        <w:t xml:space="preserve">Quotation Estimate No.:</w:t>
      </w:r>
      <w:r>
        <w:t xml:space="preserve"> </w:t>
      </w:r>
      <w:r>
        <w:t xml:space="preserve">QTE-2025-0847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Studio Nexo Digital</w:t>
      </w:r>
      <w:r>
        <w:br/>
      </w:r>
      <w:r>
        <w:rPr>
          <w:bCs/>
          <w:b/>
        </w:rPr>
        <w:t xml:space="preserve">Address:</w:t>
      </w:r>
      <w:r>
        <w:t xml:space="preserve"> </w:t>
      </w:r>
      <w:r>
        <w:t xml:space="preserve">Quadra 3, Bloco B, Asa Sul</w:t>
      </w:r>
      <w:r>
        <w:br/>
      </w:r>
      <w:r>
        <w:rPr>
          <w:bCs/>
          <w:b/>
        </w:rPr>
        <w:t xml:space="preserve">Brazil Brasília, DF 70300-000</w:t>
      </w:r>
      <w:r>
        <w:br/>
      </w:r>
      <w:r>
        <w:rPr>
          <w:bCs/>
          <w:b/>
        </w:rPr>
        <w:t xml:space="preserve">CNPJ:</w:t>
      </w:r>
      <w:r>
        <w:t xml:space="preserve"> </w:t>
      </w:r>
      <w:r>
        <w:t xml:space="preserve">12.345.678/0001-90</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[Client Company Name]</w:t>
            </w:r>
          </w:p>
        </w:tc>
      </w:tr>
      <w:tr>
        <w:tc>
          <w:tcPr/>
          <w:p>
            <w:pPr>
              <w:pStyle w:val="Compact"/>
              <w:jc w:val="left"/>
            </w:pPr>
            <w:r>
              <w:t xml:space="preserve">Contact Person</w:t>
            </w:r>
          </w:p>
        </w:tc>
        <w:tc>
          <w:tcPr/>
          <w:p>
            <w:pPr>
              <w:pStyle w:val="Compact"/>
              <w:jc w:val="left"/>
            </w:pPr>
            <w:r>
              <w:t xml:space="preserve">[Full Name], Project Manager</w:t>
            </w:r>
          </w:p>
        </w:tc>
      </w:tr>
      <w:tr>
        <w:tc>
          <w:tcPr/>
          <w:p>
            <w:pPr>
              <w:pStyle w:val="Compact"/>
              <w:jc w:val="left"/>
            </w:pPr>
            <w:r>
              <w:t xml:space="preserve">Location</w:t>
            </w:r>
          </w:p>
        </w:tc>
        <w:tc>
          <w:tcPr/>
          <w:p>
            <w:pPr>
              <w:pStyle w:val="Compact"/>
              <w:jc w:val="left"/>
            </w:pPr>
            <w:r>
              <w:t xml:space="preserve">Brazil Brasília, Distrito Federal</w:t>
            </w:r>
          </w:p>
        </w:tc>
      </w:tr>
      <w:tr>
        <w:tc>
          <w:tcPr/>
          <w:p>
            <w:pPr>
              <w:pStyle w:val="Compact"/>
              <w:jc w:val="left"/>
            </w:pPr>
            <w:r>
              <w:t xml:space="preserve">Email</w:t>
            </w:r>
          </w:p>
        </w:tc>
        <w:tc>
          <w:tcPr/>
          <w:p>
            <w:pPr>
              <w:pStyle w:val="Compact"/>
              <w:jc w:val="left"/>
            </w:pPr>
            <w:r>
              <w:t xml:space="preserve">[client@company.com.br]</w:t>
            </w:r>
          </w:p>
        </w:tc>
      </w:tr>
      <w:tr>
        <w:tc>
          <w:tcPr/>
          <w:p>
            <w:pPr>
              <w:pStyle w:val="Compact"/>
              <w:jc w:val="left"/>
            </w:pPr>
            <w:r>
              <w:t xml:space="preserve">Phone</w:t>
            </w:r>
          </w:p>
        </w:tc>
        <w:tc>
          <w:tcPr/>
          <w:p>
            <w:pPr>
              <w:pStyle w:val="Compact"/>
              <w:jc w:val="left"/>
            </w:pPr>
            <w:r>
              <w:t xml:space="preserve">+55 (61) 9XXXX-XXXX</w:t>
            </w:r>
          </w:p>
        </w:tc>
      </w:tr>
    </w:tbl>
    <w:bookmarkEnd w:id="21"/>
    <w:bookmarkStart w:id="22" w:name="scope-of-work-ux-ui-designer-engagement"/>
    <w:p>
      <w:pPr>
        <w:pStyle w:val="Heading2"/>
      </w:pPr>
      <w:r>
        <w:t xml:space="preserve">2. Scope of Work – UX UI Designer Engagement</w:t>
      </w:r>
    </w:p>
    <w:p>
      <w:pPr>
        <w:pStyle w:val="FirstParagraph"/>
      </w:pPr>
      <w:r>
        <w:t xml:space="preserve">This</w:t>
      </w:r>
      <w:r>
        <w:t xml:space="preserve"> </w:t>
      </w:r>
      <w:r>
        <w:t xml:space="preserve">Quotation Estimate</w:t>
      </w:r>
      <w:r>
        <w:t xml:space="preserve"> </w:t>
      </w:r>
      <w:r>
        <w:t xml:space="preserve">outlines the full range of professional services to be delivered by our senior</w:t>
      </w:r>
      <w:r>
        <w:t xml:space="preserve"> </w:t>
      </w:r>
      <w:r>
        <w:t xml:space="preserve">UX UI Designer</w:t>
      </w:r>
      <w:r>
        <w:t xml:space="preserve"> </w:t>
      </w:r>
      <w:r>
        <w:t xml:space="preserve">team for your project based in</w:t>
      </w:r>
      <w:r>
        <w:t xml:space="preserve"> </w:t>
      </w:r>
      <w:r>
        <w:t xml:space="preserve">Brazil Brasília</w:t>
      </w:r>
      <w:r>
        <w:t xml:space="preserve">. The engagement encompasses end-to-end user experience and user interface design, ensuring that your digital product meets the highest standards of usability, accessibility, and visual excellence. All deliverables will be tailored to the specific cultural, regulatory, and technological context of Brazil Brasília and the broader Brazilian market.</w:t>
      </w:r>
    </w:p>
    <w:p>
      <w:pPr>
        <w:pStyle w:val="BodyText"/>
      </w:pPr>
      <w:r>
        <w:t xml:space="preserve">Our</w:t>
      </w:r>
      <w:r>
        <w:t xml:space="preserve"> </w:t>
      </w:r>
      <w:r>
        <w:t xml:space="preserve">UX UI Designer</w:t>
      </w:r>
      <w:r>
        <w:t xml:space="preserve"> </w:t>
      </w:r>
      <w:r>
        <w:t xml:space="preserve">will conduct comprehensive user research, wireframing, prototyping, visual design, design system development, and usability testing. The project will be executed in close collaboration with your in-house team located in Brazil Brasília, with weekly progress meetings scheduled to maintain transparency and alignment throughout the development lifecycle.</w:t>
      </w:r>
    </w:p>
    <w:bookmarkEnd w:id="22"/>
    <w:bookmarkStart w:id="23" w:name="detailed-service-breakdown-and-pricing"/>
    <w:p>
      <w:pPr>
        <w:pStyle w:val="Heading2"/>
      </w:pPr>
      <w:r>
        <w:t xml:space="preserve">3. Detailed Service Breakdown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Hours</w:t>
            </w:r>
          </w:p>
        </w:tc>
        <w:tc>
          <w:tcPr/>
          <w:p>
            <w:pPr>
              <w:pStyle w:val="Compact"/>
              <w:jc w:val="left"/>
            </w:pPr>
            <w:r>
              <w:t xml:space="preserve">Rate (BRL)</w:t>
            </w:r>
          </w:p>
        </w:tc>
        <w:tc>
          <w:tcPr/>
          <w:p>
            <w:pPr>
              <w:pStyle w:val="Compact"/>
              <w:jc w:val="left"/>
            </w:pPr>
            <w:r>
              <w:t xml:space="preserve">Subtotal (BRL)</w:t>
            </w:r>
          </w:p>
        </w:tc>
      </w:tr>
      <w:tr>
        <w:tc>
          <w:tcPr/>
          <w:p>
            <w:pPr>
              <w:pStyle w:val="Compact"/>
              <w:jc w:val="left"/>
            </w:pPr>
            <w:r>
              <w:t xml:space="preserve">3.1</w:t>
            </w:r>
          </w:p>
        </w:tc>
        <w:tc>
          <w:tcPr/>
          <w:p>
            <w:pPr>
              <w:pStyle w:val="Compact"/>
              <w:jc w:val="left"/>
            </w:pPr>
            <w:r>
              <w:t xml:space="preserve">User Research &amp; Discovery – Stakeholder interviews, user persona development, competitive analysis specific to the Brazil Brasília market</w:t>
            </w:r>
          </w:p>
        </w:tc>
        <w:tc>
          <w:tcPr/>
          <w:p>
            <w:pPr>
              <w:pStyle w:val="Compact"/>
              <w:jc w:val="left"/>
            </w:pPr>
            <w:r>
              <w:t xml:space="preserve">40</w:t>
            </w:r>
          </w:p>
        </w:tc>
        <w:tc>
          <w:tcPr/>
          <w:p>
            <w:pPr>
              <w:pStyle w:val="Compact"/>
              <w:jc w:val="left"/>
            </w:pPr>
            <w:r>
              <w:t xml:space="preserve">R$ 350,00</w:t>
            </w:r>
          </w:p>
        </w:tc>
        <w:tc>
          <w:tcPr/>
          <w:p>
            <w:pPr>
              <w:pStyle w:val="Compact"/>
              <w:jc w:val="left"/>
            </w:pPr>
            <w:r>
              <w:t xml:space="preserve">R$ 14.000,00</w:t>
            </w:r>
          </w:p>
        </w:tc>
      </w:tr>
      <w:tr>
        <w:tc>
          <w:tcPr/>
          <w:p>
            <w:pPr>
              <w:pStyle w:val="Compact"/>
              <w:jc w:val="left"/>
            </w:pPr>
            <w:r>
              <w:t xml:space="preserve">3.2</w:t>
            </w:r>
          </w:p>
        </w:tc>
        <w:tc>
          <w:tcPr/>
          <w:p>
            <w:pPr>
              <w:pStyle w:val="Compact"/>
              <w:jc w:val="left"/>
            </w:pPr>
            <w:r>
              <w:t xml:space="preserve">Information Architecture &amp; User Flows – Sitemap creation, task flow mapping, content strategy</w:t>
            </w:r>
          </w:p>
        </w:tc>
        <w:tc>
          <w:tcPr/>
          <w:p>
            <w:pPr>
              <w:pStyle w:val="Compact"/>
              <w:jc w:val="left"/>
            </w:pPr>
            <w:r>
              <w:t xml:space="preserve">30</w:t>
            </w:r>
          </w:p>
        </w:tc>
        <w:tc>
          <w:tcPr/>
          <w:p>
            <w:pPr>
              <w:pStyle w:val="Compact"/>
              <w:jc w:val="left"/>
            </w:pPr>
            <w:r>
              <w:t xml:space="preserve">R$ 350,00</w:t>
            </w:r>
          </w:p>
        </w:tc>
        <w:tc>
          <w:tcPr/>
          <w:p>
            <w:pPr>
              <w:pStyle w:val="Compact"/>
              <w:jc w:val="left"/>
            </w:pPr>
            <w:r>
              <w:t xml:space="preserve">R$ 10.500,00</w:t>
            </w:r>
          </w:p>
        </w:tc>
      </w:tr>
      <w:tr>
        <w:tc>
          <w:tcPr/>
          <w:p>
            <w:pPr>
              <w:pStyle w:val="Compact"/>
              <w:jc w:val="left"/>
            </w:pPr>
            <w:r>
              <w:t xml:space="preserve">3.3</w:t>
            </w:r>
          </w:p>
        </w:tc>
        <w:tc>
          <w:tcPr/>
          <w:p>
            <w:pPr>
              <w:pStyle w:val="Compact"/>
              <w:jc w:val="left"/>
            </w:pPr>
            <w:r>
              <w:t xml:space="preserve">Wireframing &amp; Low-Fidelity Prototyping – Interactive wireframes for all key screens and user journeys</w:t>
            </w:r>
          </w:p>
        </w:tc>
        <w:tc>
          <w:tcPr/>
          <w:p>
            <w:pPr>
              <w:pStyle w:val="Compact"/>
              <w:jc w:val="left"/>
            </w:pPr>
            <w:r>
              <w:t xml:space="preserve">50</w:t>
            </w:r>
          </w:p>
        </w:tc>
        <w:tc>
          <w:tcPr/>
          <w:p>
            <w:pPr>
              <w:pStyle w:val="Compact"/>
              <w:jc w:val="left"/>
            </w:pPr>
            <w:r>
              <w:t xml:space="preserve">R$ 350,00</w:t>
            </w:r>
          </w:p>
        </w:tc>
        <w:tc>
          <w:tcPr/>
          <w:p>
            <w:pPr>
              <w:pStyle w:val="Compact"/>
              <w:jc w:val="left"/>
            </w:pPr>
            <w:r>
              <w:t xml:space="preserve">R$ 17.500,00</w:t>
            </w:r>
          </w:p>
        </w:tc>
      </w:tr>
      <w:tr>
        <w:tc>
          <w:tcPr/>
          <w:p>
            <w:pPr>
              <w:pStyle w:val="Compact"/>
              <w:jc w:val="left"/>
            </w:pPr>
            <w:r>
              <w:t xml:space="preserve">3.4</w:t>
            </w:r>
          </w:p>
        </w:tc>
        <w:tc>
          <w:tcPr/>
          <w:p>
            <w:pPr>
              <w:pStyle w:val="Compact"/>
              <w:jc w:val="left"/>
            </w:pPr>
            <w:r>
              <w:t xml:space="preserve">High-Fidelity UI Design – Pixel-perfect visual design, color palette, typography, iconography, and component library</w:t>
            </w:r>
          </w:p>
        </w:tc>
        <w:tc>
          <w:tcPr/>
          <w:p>
            <w:pPr>
              <w:pStyle w:val="Compact"/>
              <w:jc w:val="left"/>
            </w:pPr>
            <w:r>
              <w:t xml:space="preserve">80</w:t>
            </w:r>
          </w:p>
        </w:tc>
        <w:tc>
          <w:tcPr/>
          <w:p>
            <w:pPr>
              <w:pStyle w:val="Compact"/>
              <w:jc w:val="left"/>
            </w:pPr>
            <w:r>
              <w:t xml:space="preserve">R$ 380,00</w:t>
            </w:r>
          </w:p>
        </w:tc>
        <w:tc>
          <w:tcPr/>
          <w:p>
            <w:pPr>
              <w:pStyle w:val="Compact"/>
              <w:jc w:val="left"/>
            </w:pPr>
            <w:r>
              <w:t xml:space="preserve">R$ 30.400,00</w:t>
            </w:r>
          </w:p>
        </w:tc>
      </w:tr>
      <w:tr>
        <w:tc>
          <w:tcPr/>
          <w:p>
            <w:pPr>
              <w:pStyle w:val="Compact"/>
              <w:jc w:val="left"/>
            </w:pPr>
            <w:r>
              <w:t xml:space="preserve">3.5</w:t>
            </w:r>
          </w:p>
        </w:tc>
        <w:tc>
          <w:tcPr/>
          <w:p>
            <w:pPr>
              <w:pStyle w:val="Compact"/>
              <w:jc w:val="left"/>
            </w:pPr>
            <w:r>
              <w:t xml:space="preserve">Design System &amp; Style Guide – Comprehensive documentation, Figma component library, usage guidelines</w:t>
            </w:r>
          </w:p>
        </w:tc>
        <w:tc>
          <w:tcPr/>
          <w:p>
            <w:pPr>
              <w:pStyle w:val="Compact"/>
              <w:jc w:val="left"/>
            </w:pPr>
            <w:r>
              <w:t xml:space="preserve">40</w:t>
            </w:r>
          </w:p>
        </w:tc>
        <w:tc>
          <w:tcPr/>
          <w:p>
            <w:pPr>
              <w:pStyle w:val="Compact"/>
              <w:jc w:val="left"/>
            </w:pPr>
            <w:r>
              <w:t xml:space="preserve">R$ 380,00</w:t>
            </w:r>
          </w:p>
        </w:tc>
        <w:tc>
          <w:tcPr/>
          <w:p>
            <w:pPr>
              <w:pStyle w:val="Compact"/>
              <w:jc w:val="left"/>
            </w:pPr>
            <w:r>
              <w:t xml:space="preserve">R$ 15.200,00</w:t>
            </w:r>
          </w:p>
        </w:tc>
      </w:tr>
      <w:tr>
        <w:tc>
          <w:tcPr/>
          <w:p>
            <w:pPr>
              <w:pStyle w:val="Compact"/>
              <w:jc w:val="left"/>
            </w:pPr>
            <w:r>
              <w:t xml:space="preserve">3.6</w:t>
            </w:r>
          </w:p>
        </w:tc>
        <w:tc>
          <w:tcPr/>
          <w:p>
            <w:pPr>
              <w:pStyle w:val="Compact"/>
              <w:jc w:val="left"/>
            </w:pPr>
            <w:r>
              <w:t xml:space="preserve">Usability Testing &amp; Iteration – Moderated testing sessions with 8–10 participants in Brazil Brasília, two rounds of refinement</w:t>
            </w:r>
          </w:p>
        </w:tc>
        <w:tc>
          <w:tcPr/>
          <w:p>
            <w:pPr>
              <w:pStyle w:val="Compact"/>
              <w:jc w:val="left"/>
            </w:pPr>
            <w:r>
              <w:t xml:space="preserve">35</w:t>
            </w:r>
          </w:p>
        </w:tc>
        <w:tc>
          <w:tcPr/>
          <w:p>
            <w:pPr>
              <w:pStyle w:val="Compact"/>
              <w:jc w:val="left"/>
            </w:pPr>
            <w:r>
              <w:t xml:space="preserve">R$ 350,00</w:t>
            </w:r>
          </w:p>
        </w:tc>
        <w:tc>
          <w:tcPr/>
          <w:p>
            <w:pPr>
              <w:pStyle w:val="Compact"/>
              <w:jc w:val="left"/>
            </w:pPr>
            <w:r>
              <w:t xml:space="preserve">R$ 12.250,00</w:t>
            </w:r>
          </w:p>
        </w:tc>
      </w:tr>
      <w:tr>
        <w:tc>
          <w:tcPr/>
          <w:p>
            <w:pPr>
              <w:pStyle w:val="Compact"/>
              <w:jc w:val="left"/>
            </w:pPr>
            <w:r>
              <w:t xml:space="preserve">3.7</w:t>
            </w:r>
          </w:p>
        </w:tc>
        <w:tc>
          <w:tcPr/>
          <w:p>
            <w:pPr>
              <w:pStyle w:val="Compact"/>
              <w:jc w:val="left"/>
            </w:pPr>
            <w:r>
              <w:t xml:space="preserve">Developer Handoff &amp; Support – Annotated specifications, asset export, 30-day post-delivery support</w:t>
            </w:r>
          </w:p>
        </w:tc>
        <w:tc>
          <w:tcPr/>
          <w:p>
            <w:pPr>
              <w:pStyle w:val="Compact"/>
              <w:jc w:val="left"/>
            </w:pPr>
            <w:r>
              <w:t xml:space="preserve">25</w:t>
            </w:r>
          </w:p>
        </w:tc>
        <w:tc>
          <w:tcPr/>
          <w:p>
            <w:pPr>
              <w:pStyle w:val="Compact"/>
              <w:jc w:val="left"/>
            </w:pPr>
            <w:r>
              <w:t xml:space="preserve">R$ 350,00</w:t>
            </w:r>
          </w:p>
        </w:tc>
        <w:tc>
          <w:tcPr/>
          <w:p>
            <w:pPr>
              <w:pStyle w:val="Compact"/>
              <w:jc w:val="left"/>
            </w:pPr>
            <w:r>
              <w:t xml:space="preserve">R$ 8.750,00</w:t>
            </w:r>
          </w:p>
        </w:tc>
      </w:tr>
      <w:tr>
        <w:tc>
          <w:tcPr>
            <w:gridSpan w:val="4"/>
          </w:tcPr>
          <w:p>
            <w:pPr>
              <w:pStyle w:val="Compact"/>
              <w:jc w:val="right"/>
            </w:pPr>
            <w:r>
              <w:t xml:space="preserve">TOTAL ESTIMATED COST</w:t>
            </w:r>
          </w:p>
        </w:tc>
        <w:tc>
          <w:tcPr/>
          <w:p>
            <w:pPr>
              <w:pStyle w:val="Compact"/>
              <w:jc w:val="left"/>
            </w:pPr>
            <w:r>
              <w:t xml:space="preserve">R$ 108.600,00</w:t>
            </w:r>
          </w:p>
        </w:tc>
      </w:tr>
    </w:tbl>
    <w:p>
      <w:pPr>
        <w:pStyle w:val="BodyText"/>
      </w:pPr>
      <w:r>
        <w:rPr>
          <w:iCs/>
          <w:i/>
        </w:rPr>
        <w:t xml:space="preserve">All prices are quoted in Brazilian Reais (BRL) and are inclusive of applicable taxes as per the regulations in Brazil Brasília. This Quotation Estimate does not include third-party licensing fees for stock assets or specialized software subscriptions unless explicitly stated.</w:t>
      </w:r>
    </w:p>
    <w:bookmarkEnd w:id="23"/>
    <w:bookmarkStart w:id="24" w:name="project-timeline"/>
    <w:p>
      <w:pPr>
        <w:pStyle w:val="Heading2"/>
      </w:pPr>
      <w:r>
        <w:t xml:space="preserve">4.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Estimated Completion</w:t>
            </w:r>
          </w:p>
        </w:tc>
      </w:tr>
      <w:tr>
        <w:tc>
          <w:tcPr/>
          <w:p>
            <w:pPr>
              <w:pStyle w:val="Compact"/>
              <w:jc w:val="left"/>
            </w:pPr>
            <w:r>
              <w:t xml:space="preserve">Discovery &amp; Research</w:t>
            </w:r>
          </w:p>
        </w:tc>
        <w:tc>
          <w:tcPr/>
          <w:p>
            <w:pPr>
              <w:pStyle w:val="Compact"/>
              <w:jc w:val="left"/>
            </w:pPr>
            <w:r>
              <w:t xml:space="preserve">Weeks 1–2</w:t>
            </w:r>
          </w:p>
        </w:tc>
        <w:tc>
          <w:tcPr/>
          <w:p>
            <w:pPr>
              <w:pStyle w:val="Compact"/>
              <w:jc w:val="left"/>
            </w:pPr>
            <w:r>
              <w:t xml:space="preserve">29 June 2025</w:t>
            </w:r>
          </w:p>
        </w:tc>
      </w:tr>
      <w:tr>
        <w:tc>
          <w:tcPr/>
          <w:p>
            <w:pPr>
              <w:pStyle w:val="Compact"/>
              <w:jc w:val="left"/>
            </w:pPr>
            <w:r>
              <w:t xml:space="preserve">Architecture &amp; Wireframing</w:t>
            </w:r>
          </w:p>
        </w:tc>
        <w:tc>
          <w:tcPr/>
          <w:p>
            <w:pPr>
              <w:pStyle w:val="Compact"/>
              <w:jc w:val="left"/>
            </w:pPr>
            <w:r>
              <w:t xml:space="preserve">Weeks 3–5</w:t>
            </w:r>
          </w:p>
        </w:tc>
        <w:tc>
          <w:tcPr/>
          <w:p>
            <w:pPr>
              <w:pStyle w:val="Compact"/>
              <w:jc w:val="left"/>
            </w:pPr>
            <w:r>
              <w:t xml:space="preserve">20 July 2025</w:t>
            </w:r>
          </w:p>
        </w:tc>
      </w:tr>
      <w:tr>
        <w:tc>
          <w:tcPr/>
          <w:p>
            <w:pPr>
              <w:pStyle w:val="Compact"/>
              <w:jc w:val="left"/>
            </w:pPr>
            <w:r>
              <w:t xml:space="preserve">UI Design &amp; Design System</w:t>
            </w:r>
          </w:p>
        </w:tc>
        <w:tc>
          <w:tcPr/>
          <w:p>
            <w:pPr>
              <w:pStyle w:val="Compact"/>
              <w:jc w:val="left"/>
            </w:pPr>
            <w:r>
              <w:t xml:space="preserve">Weeks 6–9</w:t>
            </w:r>
          </w:p>
        </w:tc>
        <w:tc>
          <w:tcPr/>
          <w:p>
            <w:pPr>
              <w:pStyle w:val="Compact"/>
              <w:jc w:val="left"/>
            </w:pPr>
            <w:r>
              <w:t xml:space="preserve">17 August 2025</w:t>
            </w:r>
          </w:p>
        </w:tc>
      </w:tr>
      <w:tr>
        <w:tc>
          <w:tcPr/>
          <w:p>
            <w:pPr>
              <w:pStyle w:val="Compact"/>
              <w:jc w:val="left"/>
            </w:pPr>
            <w:r>
              <w:t xml:space="preserve">Testing &amp; Iteration</w:t>
            </w:r>
          </w:p>
        </w:tc>
        <w:tc>
          <w:tcPr/>
          <w:p>
            <w:pPr>
              <w:pStyle w:val="Compact"/>
              <w:jc w:val="left"/>
            </w:pPr>
            <w:r>
              <w:t xml:space="preserve">Weeks 10–11</w:t>
            </w:r>
          </w:p>
        </w:tc>
        <w:tc>
          <w:tcPr/>
          <w:p>
            <w:pPr>
              <w:pStyle w:val="Compact"/>
              <w:jc w:val="left"/>
            </w:pPr>
            <w:r>
              <w:t xml:space="preserve">31 August 2025</w:t>
            </w:r>
          </w:p>
        </w:tc>
      </w:tr>
      <w:tr>
        <w:tc>
          <w:tcPr/>
          <w:p>
            <w:pPr>
              <w:pStyle w:val="Compact"/>
              <w:jc w:val="left"/>
            </w:pPr>
            <w:r>
              <w:t xml:space="preserve">Handoff &amp; Support</w:t>
            </w:r>
          </w:p>
        </w:tc>
        <w:tc>
          <w:tcPr/>
          <w:p>
            <w:pPr>
              <w:pStyle w:val="Compact"/>
              <w:jc w:val="left"/>
            </w:pPr>
            <w:r>
              <w:t xml:space="preserve">Week 12</w:t>
            </w:r>
          </w:p>
        </w:tc>
        <w:tc>
          <w:tcPr/>
          <w:p>
            <w:pPr>
              <w:pStyle w:val="Compact"/>
              <w:jc w:val="left"/>
            </w:pPr>
            <w:r>
              <w:t xml:space="preserve">07 September 2025</w:t>
            </w:r>
          </w:p>
        </w:tc>
      </w:tr>
    </w:tbl>
    <w:bookmarkEnd w:id="24"/>
    <w:bookmarkStart w:id="25" w:name="terms-and-conditions"/>
    <w:p>
      <w:pPr>
        <w:pStyle w:val="Heading2"/>
      </w:pPr>
      <w:r>
        <w:t xml:space="preserve">5. Terms and Conditions</w:t>
      </w:r>
    </w:p>
    <w:p>
      <w:pPr>
        <w:pStyle w:val="FirstParagraph"/>
      </w:pPr>
      <w:r>
        <w:t xml:space="preserve">This</w:t>
      </w:r>
      <w:r>
        <w:t xml:space="preserve"> </w:t>
      </w:r>
      <w:r>
        <w:t xml:space="preserve">Quotation Estimate</w:t>
      </w:r>
      <w:r>
        <w:t xml:space="preserve"> </w:t>
      </w:r>
      <w:r>
        <w:t xml:space="preserve">is valid for thirty (30) calendar days from the date of issue. Upon acceptance, a signed service agreement will be executed in accordance with Brazilian commercial law applicable in Brazil Brasília. Payment terms are structured as follows: 40% upon contract signing, 30% upon completion of the UI Design phase, and 30% upon final delivery and acceptance. Invoices will be issued in BRL and are payable within fifteen (15) business days via bank transfer to the account details provided in the contract.</w:t>
      </w:r>
    </w:p>
    <w:p>
      <w:pPr>
        <w:pStyle w:val="BodyText"/>
      </w:pPr>
      <w:r>
        <w:t xml:space="preserve">The</w:t>
      </w:r>
      <w:r>
        <w:t xml:space="preserve"> </w:t>
      </w:r>
      <w:r>
        <w:t xml:space="preserve">UX UI Designer</w:t>
      </w:r>
      <w:r>
        <w:t xml:space="preserve"> </w:t>
      </w:r>
      <w:r>
        <w:t xml:space="preserve">assigned to this project will dedicate a minimum of 32 hours per week to your engagement. All intellectual property rights to the final deliverables will transfer to the client upon full payment. Our studio retains the right to showcase the project in its portfolio with prior written consent from the client.</w:t>
      </w:r>
    </w:p>
    <w:p>
      <w:pPr>
        <w:pStyle w:val="BodyText"/>
      </w:pPr>
      <w:r>
        <w:t xml:space="preserve">Any changes to the scope of work beyond the initial estimate will be subject to a revised</w:t>
      </w:r>
      <w:r>
        <w:t xml:space="preserve"> </w:t>
      </w:r>
      <w:r>
        <w:t xml:space="preserve">Quotation Estimate</w:t>
      </w:r>
      <w:r>
        <w:t xml:space="preserve"> </w:t>
      </w:r>
      <w:r>
        <w:t xml:space="preserve">and mutual written approval before additional work commences. Force majeure events, including but not limited to natural disasters affecting the Brazil Brasília region, may result in timeline adjustments without penalty to either party.</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UX UI Designer</w:t>
      </w:r>
      <w:r>
        <w:t xml:space="preserve"> </w:t>
      </w:r>
      <w:r>
        <w:t xml:space="preserve">services to be performed in</w:t>
      </w:r>
      <w:r>
        <w:t xml:space="preserve"> </w:t>
      </w:r>
      <w:r>
        <w:t xml:space="preserve">Brazil Brasília</w:t>
      </w:r>
      <w:r>
        <w:t xml:space="preserve">, and agrees to all terms and conditions outlined herein.</w:t>
      </w:r>
    </w:p>
    <w:p>
      <w:pPr>
        <w:pStyle w:val="BodyText"/>
      </w:pPr>
      <w:r>
        <w:rPr>
          <w:bCs/>
          <w:b/>
        </w:rPr>
        <w:t xml:space="preserve">For Studio Nexo Digital</w:t>
      </w:r>
      <w:r>
        <w:br/>
      </w:r>
      <w:r>
        <w:t xml:space="preserve">Name: _________________________</w:t>
      </w:r>
      <w:r>
        <w:br/>
      </w:r>
      <w:r>
        <w:t xml:space="preserve">Title: Lead UX UI Designer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bookmarkEnd w:id="26"/>
    <w:p>
      <w:pPr>
        <w:pStyle w:val="BodyText"/>
      </w:pPr>
      <w:r>
        <w:rPr>
          <w:bCs/>
          <w:b/>
        </w:rPr>
        <w:t xml:space="preserve">Note:</w:t>
      </w:r>
      <w:r>
        <w:t xml:space="preserve"> </w:t>
      </w:r>
      <w:r>
        <w:t xml:space="preserve">This Quotation Estimate was prepared specifically for a project to be executed in Brazil Brasília. All service delivery, meetings, and on-site activities (including usability testing sessions) will take place within the Distrito Federal region. Travel expenses outside of Brazil Brasília, if required, will be quoted separately.</w:t>
      </w:r>
    </w:p>
    <w:p>
      <w:pPr>
        <w:pStyle w:val="BodyText"/>
      </w:pPr>
      <w:r>
        <w:rPr>
          <w:bCs/>
          <w:b/>
        </w:rPr>
        <w:t xml:space="preserve">Studio Nexo Digital</w:t>
      </w:r>
      <w:r>
        <w:t xml:space="preserve"> </w:t>
      </w:r>
      <w:r>
        <w:t xml:space="preserve">– UX UI Designer Services | Quadra 3, Bloco B, Asa Sul, Brazil Brasília, DF 70300-000, Brazil</w:t>
      </w:r>
      <w:r>
        <w:br/>
      </w:r>
      <w:r>
        <w:t xml:space="preserve">Phone: +55 (61) 3000-0000 | Email: quotes@studionexo.com.br | CNPJ: 12.345.678/0001-90</w:t>
      </w:r>
      <w:r>
        <w:br/>
      </w:r>
      <w:r>
        <w:br/>
      </w:r>
      <w:r>
        <w:t xml:space="preserve">This Quotation Estimate document is confidential and intended solely for the named client. Unauthorized reproduction or distribution is prohibited. Document reference: QTE-2025-0847.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Brazil Brasília</dc:title>
  <dc:creator/>
  <dc:language>en</dc:language>
  <cp:keywords/>
  <dcterms:created xsi:type="dcterms:W3CDTF">2026-10-10T05:53:31Z</dcterms:created>
  <dcterms:modified xsi:type="dcterms:W3CDTF">2026-10-10T05:53:31Z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