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ixelcraft-digital-studio"/>
    <w:p>
      <w:pPr>
        <w:pStyle w:val="Heading1"/>
      </w:pPr>
      <w:r>
        <w:t xml:space="preserve">PixelCraft Digital Studio</w:t>
      </w:r>
    </w:p>
    <w:p>
      <w:pPr>
        <w:pStyle w:val="FirstParagraph"/>
      </w:pPr>
      <w:r>
        <w:t xml:space="preserve">Av. Paulista, 1578 – Bela Vista, São Paulo – SP, Brazil</w:t>
      </w:r>
    </w:p>
    <w:p>
      <w:pPr>
        <w:pStyle w:val="BodyText"/>
      </w:pPr>
      <w:r>
        <w:t xml:space="preserve">CNPJ: 12.345.678/0001-90 | Tel: +55 (11) 3456-7890 | email: quotes@pixelcraft.com.br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Brazil São Paulo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District], São Paulo – SP, Brazil</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PixelCraft Digital Studio for your digital product design needs. This</w:t>
      </w:r>
      <w:r>
        <w:t xml:space="preserve"> </w:t>
      </w:r>
      <w:r>
        <w:t xml:space="preserve">Quotation Estimate</w:t>
      </w:r>
      <w:r>
        <w:t xml:space="preserve"> </w:t>
      </w:r>
      <w:r>
        <w:t xml:space="preserve">outlines the comprehensive scope of work, deliverables, and associated costs for engaging our senior</w:t>
      </w:r>
      <w:r>
        <w:t xml:space="preserve"> </w:t>
      </w:r>
      <w:r>
        <w:t xml:space="preserve">UX UI Designer</w:t>
      </w:r>
      <w:r>
        <w:t xml:space="preserve"> </w:t>
      </w:r>
      <w:r>
        <w:t xml:space="preserve">team to deliver a world-class user experience and interface design project. All services described herein will be executed in accordance with the professional standards expected in the competitive digital market of</w:t>
      </w:r>
      <w:r>
        <w:t xml:space="preserve"> </w:t>
      </w:r>
      <w:r>
        <w:t xml:space="preserve">Brazil São Paulo</w:t>
      </w:r>
      <w:r>
        <w:t xml:space="preserve">, where innovation and user-centric design are paramount to business success.</w:t>
      </w:r>
    </w:p>
    <w:p>
      <w:pPr>
        <w:pStyle w:val="BodyText"/>
      </w:pPr>
      <w:r>
        <w:t xml:space="preserve">Scope of Work – UX UI Designer Services</w:t>
      </w:r>
    </w:p>
    <w:p>
      <w:pPr>
        <w:pStyle w:val="BodyText"/>
      </w:pPr>
      <w:r>
        <w:t xml:space="preserve">The following</w:t>
      </w:r>
      <w:r>
        <w:t xml:space="preserve"> </w:t>
      </w:r>
      <w:r>
        <w:t xml:space="preserve">UX UI Designer</w:t>
      </w:r>
      <w:r>
        <w:t xml:space="preserve"> </w:t>
      </w:r>
      <w:r>
        <w:t xml:space="preserve">engagement covers the full design lifecycle for your digital product, from initial research through to final handoff. Our team, based and operating in</w:t>
      </w:r>
      <w:r>
        <w:t xml:space="preserve"> </w:t>
      </w:r>
      <w:r>
        <w:t xml:space="preserve">Brazil São Paulo</w:t>
      </w:r>
      <w:r>
        <w:t xml:space="preserve">, will work closely with your internal stakeholders to ensure the final product resonates with your target audience in the Brazilian and Latin American markets.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Cost (BRL)</w:t>
            </w:r>
          </w:p>
        </w:tc>
      </w:tr>
      <w:tr>
        <w:tc>
          <w:tcPr/>
          <w:p>
            <w:pPr>
              <w:pStyle w:val="Compact"/>
              <w:jc w:val="left"/>
            </w:pPr>
            <w:r>
              <w:t xml:space="preserve">1</w:t>
            </w:r>
          </w:p>
        </w:tc>
        <w:tc>
          <w:tcPr/>
          <w:p>
            <w:pPr>
              <w:pStyle w:val="Compact"/>
              <w:jc w:val="left"/>
            </w:pPr>
            <w:r>
              <w:t xml:space="preserve">UX Research &amp; Discovery</w:t>
            </w:r>
          </w:p>
        </w:tc>
        <w:tc>
          <w:tcPr/>
          <w:p>
            <w:pPr>
              <w:pStyle w:val="Compact"/>
              <w:jc w:val="left"/>
            </w:pPr>
            <w:r>
              <w:t xml:space="preserve">User interviews, competitor analysis, persona development, and journey mapping tailored to the Brazil São Paulo market demographics and digital behavior patterns.</w:t>
            </w:r>
          </w:p>
        </w:tc>
        <w:tc>
          <w:tcPr/>
          <w:p>
            <w:pPr>
              <w:pStyle w:val="Compact"/>
              <w:jc w:val="left"/>
            </w:pPr>
            <w:r>
              <w:t xml:space="preserve">40</w:t>
            </w:r>
          </w:p>
        </w:tc>
        <w:tc>
          <w:tcPr/>
          <w:p>
            <w:pPr>
              <w:pStyle w:val="Compact"/>
              <w:jc w:val="left"/>
            </w:pPr>
            <w:r>
              <w:t xml:space="preserve">R$ 12,000.00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Low-fidelity wireframes, user flow diagrams, and content hierarchy planning for web and mobile platforms.</w:t>
            </w:r>
          </w:p>
        </w:tc>
        <w:tc>
          <w:tcPr/>
          <w:p>
            <w:pPr>
              <w:pStyle w:val="Compact"/>
              <w:jc w:val="left"/>
            </w:pPr>
            <w:r>
              <w:t xml:space="preserve">32</w:t>
            </w:r>
          </w:p>
        </w:tc>
        <w:tc>
          <w:tcPr/>
          <w:p>
            <w:pPr>
              <w:pStyle w:val="Compact"/>
              <w:jc w:val="left"/>
            </w:pPr>
            <w:r>
              <w:t xml:space="preserve">R$ 9,600.00</w:t>
            </w:r>
          </w:p>
        </w:tc>
      </w:tr>
      <w:tr>
        <w:tc>
          <w:tcPr/>
          <w:p>
            <w:pPr>
              <w:pStyle w:val="Compact"/>
              <w:jc w:val="left"/>
            </w:pPr>
            <w:r>
              <w:t xml:space="preserve">3</w:t>
            </w:r>
          </w:p>
        </w:tc>
        <w:tc>
          <w:tcPr/>
          <w:p>
            <w:pPr>
              <w:pStyle w:val="Compact"/>
              <w:jc w:val="left"/>
            </w:pPr>
            <w:r>
              <w:t xml:space="preserve">UI Visual Design</w:t>
            </w:r>
          </w:p>
        </w:tc>
        <w:tc>
          <w:tcPr/>
          <w:p>
            <w:pPr>
              <w:pStyle w:val="Compact"/>
              <w:jc w:val="left"/>
            </w:pPr>
            <w:r>
              <w:t xml:space="preserve">High-fidelity mockups, design system creation, color palette, typography selection, and component library in Figma. Aligned with modern design trends prevalent in Brazil São Paulo's tech ecosystem.</w:t>
            </w:r>
          </w:p>
        </w:tc>
        <w:tc>
          <w:tcPr/>
          <w:p>
            <w:pPr>
              <w:pStyle w:val="Compact"/>
              <w:jc w:val="left"/>
            </w:pPr>
            <w:r>
              <w:t xml:space="preserve">48</w:t>
            </w:r>
          </w:p>
        </w:tc>
        <w:tc>
          <w:tcPr/>
          <w:p>
            <w:pPr>
              <w:pStyle w:val="Compact"/>
              <w:jc w:val="left"/>
            </w:pPr>
            <w:r>
              <w:t xml:space="preserve">R$ 14,400.00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for usability testing, micro-interactions, and animation specifications for key user flows.</w:t>
            </w:r>
          </w:p>
        </w:tc>
        <w:tc>
          <w:tcPr/>
          <w:p>
            <w:pPr>
              <w:pStyle w:val="Compact"/>
              <w:jc w:val="left"/>
            </w:pPr>
            <w:r>
              <w:t xml:space="preserve">24</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Two rounds of moderated usability testing with local participants in São Paulo, followed by design refinements and A/B test recommendations.</w:t>
            </w:r>
          </w:p>
        </w:tc>
        <w:tc>
          <w:tcPr/>
          <w:p>
            <w:pPr>
              <w:pStyle w:val="Compact"/>
              <w:jc w:val="left"/>
            </w:pPr>
            <w:r>
              <w:t xml:space="preserve">20</w:t>
            </w:r>
          </w:p>
        </w:tc>
        <w:tc>
          <w:tcPr/>
          <w:p>
            <w:pPr>
              <w:pStyle w:val="Compact"/>
              <w:jc w:val="left"/>
            </w:pPr>
            <w:r>
              <w:t xml:space="preserve">R$ 6,000.00</w:t>
            </w:r>
          </w:p>
        </w:tc>
      </w:tr>
      <w:tr>
        <w:tc>
          <w:tcPr/>
          <w:p>
            <w:pPr>
              <w:pStyle w:val="Compact"/>
              <w:jc w:val="left"/>
            </w:pPr>
            <w:r>
              <w:t xml:space="preserve">6</w:t>
            </w:r>
          </w:p>
        </w:tc>
        <w:tc>
          <w:tcPr/>
          <w:p>
            <w:pPr>
              <w:pStyle w:val="Compact"/>
              <w:jc w:val="left"/>
            </w:pPr>
            <w:r>
              <w:t xml:space="preserve">Developer Handoff &amp; Support</w:t>
            </w:r>
          </w:p>
        </w:tc>
        <w:tc>
          <w:tcPr/>
          <w:p>
            <w:pPr>
              <w:pStyle w:val="Compact"/>
              <w:jc w:val="left"/>
            </w:pPr>
            <w:r>
              <w:t xml:space="preserve">Annotated design files, asset exports, design token documentation, and a two-week post-launch support window for design QA.</w:t>
            </w:r>
          </w:p>
        </w:tc>
        <w:tc>
          <w:tcPr/>
          <w:p>
            <w:pPr>
              <w:pStyle w:val="Compact"/>
              <w:jc w:val="left"/>
            </w:pPr>
            <w:r>
              <w:t xml:space="preserve">16</w:t>
            </w:r>
          </w:p>
        </w:tc>
        <w:tc>
          <w:tcPr/>
          <w:p>
            <w:pPr>
              <w:pStyle w:val="Compact"/>
              <w:jc w:val="left"/>
            </w:pPr>
            <w:r>
              <w:t xml:space="preserve">R$ 4,800.00</w:t>
            </w:r>
          </w:p>
        </w:tc>
      </w:tr>
      <w:tr>
        <w:tc>
          <w:tcPr/>
          <w:p>
            <w:pPr>
              <w:pStyle w:val="Compact"/>
              <w:jc w:val="left"/>
            </w:pPr>
            <w:r>
              <w:t xml:space="preserve">7</w:t>
            </w:r>
          </w:p>
        </w:tc>
        <w:tc>
          <w:tcPr/>
          <w:p>
            <w:pPr>
              <w:pStyle w:val="Compact"/>
              <w:jc w:val="left"/>
            </w:pPr>
            <w:r>
              <w:t xml:space="preserve">Project Management &amp; Communication</w:t>
            </w:r>
          </w:p>
        </w:tc>
        <w:tc>
          <w:tcPr/>
          <w:p>
            <w:pPr>
              <w:pStyle w:val="Compact"/>
              <w:jc w:val="left"/>
            </w:pPr>
            <w:r>
              <w:t xml:space="preserve">Dedicated project coordination, weekly progress meetings, sprint planning, and stakeholder reporting throughout the engagement in Brazil São Paulo.</w:t>
            </w:r>
          </w:p>
        </w:tc>
        <w:tc>
          <w:tcPr/>
          <w:p>
            <w:pPr>
              <w:pStyle w:val="Compact"/>
              <w:jc w:val="left"/>
            </w:pPr>
            <w:r>
              <w:t xml:space="preserve">20</w:t>
            </w:r>
          </w:p>
        </w:tc>
        <w:tc>
          <w:tcPr/>
          <w:p>
            <w:pPr>
              <w:pStyle w:val="Compact"/>
              <w:jc w:val="left"/>
            </w:pPr>
            <w:r>
              <w:t xml:space="preserve">R$ 5,000.00</w:t>
            </w:r>
          </w:p>
        </w:tc>
      </w:tr>
      <w:tr>
        <w:tc>
          <w:tcPr>
            <w:gridSpan w:val="4"/>
          </w:tcPr>
          <w:p>
            <w:pPr>
              <w:pStyle w:val="Compact"/>
              <w:jc w:val="left"/>
            </w:pPr>
            <w:r>
              <w:t xml:space="preserve">TOTAL ESTIMATED COST</w:t>
            </w:r>
          </w:p>
        </w:tc>
        <w:tc>
          <w:tcPr/>
          <w:p>
            <w:pPr>
              <w:pStyle w:val="Compact"/>
              <w:jc w:val="left"/>
            </w:pPr>
            <w:r>
              <w:t xml:space="preserve">R$ 59,000.00</w:t>
            </w:r>
          </w:p>
        </w:tc>
      </w:tr>
    </w:tbl>
    <w:p>
      <w:pPr>
        <w:pStyle w:val="BodyText"/>
      </w:pPr>
      <w:r>
        <w:t xml:space="preserve">Project Timeline</w:t>
      </w:r>
    </w:p>
    <w:p>
      <w:pPr>
        <w:pStyle w:val="BodyText"/>
      </w:pPr>
      <w:r>
        <w:t xml:space="preserve">The estimated duration for this</w:t>
      </w:r>
      <w:r>
        <w:t xml:space="preserve"> </w:t>
      </w:r>
      <w:r>
        <w:t xml:space="preserve">UX UI Designer</w:t>
      </w:r>
      <w:r>
        <w:t xml:space="preserve"> </w:t>
      </w:r>
      <w:r>
        <w:t xml:space="preserve">project is</w:t>
      </w:r>
      <w:r>
        <w:t xml:space="preserve"> </w:t>
      </w:r>
      <w:r>
        <w:rPr>
          <w:bCs/>
          <w:b/>
        </w:rPr>
        <w:t xml:space="preserve">10 to 12 weeks</w:t>
      </w:r>
      <w:r>
        <w:t xml:space="preserve"> </w:t>
      </w:r>
      <w:r>
        <w:t xml:space="preserve">from the date of contract signing. The timeline assumes timely feedback from the client's team within 3 business days of each deliverable submission. All project milestones will be tracked and reported via a shared project management dashboard accessible to both parties.</w:t>
      </w:r>
    </w:p>
    <w:p>
      <w:pPr>
        <w:pStyle w:val="BodyText"/>
      </w:pPr>
      <w:r>
        <w:t xml:space="preserve">Payment Terms</w:t>
      </w:r>
    </w:p>
    <w:p>
      <w:pPr>
        <w:numPr>
          <w:ilvl w:val="0"/>
          <w:numId w:val="1001"/>
        </w:numPr>
        <w:pStyle w:val="Compact"/>
      </w:pPr>
      <w:r>
        <w:rPr>
          <w:bCs/>
          <w:b/>
        </w:rPr>
        <w:t xml:space="preserve">30% Advance Payment:</w:t>
      </w:r>
      <w:r>
        <w:t xml:space="preserve"> </w:t>
      </w:r>
      <w:r>
        <w:t xml:space="preserve">R$ 17,700.00 due upon signing of the service agreement to initiate the project.</w:t>
      </w:r>
    </w:p>
    <w:p>
      <w:pPr>
        <w:numPr>
          <w:ilvl w:val="0"/>
          <w:numId w:val="1001"/>
        </w:numPr>
        <w:pStyle w:val="Compact"/>
      </w:pPr>
      <w:r>
        <w:rPr>
          <w:bCs/>
          <w:b/>
        </w:rPr>
        <w:t xml:space="preserve">40% Mid-Project Payment:</w:t>
      </w:r>
      <w:r>
        <w:t xml:space="preserve"> </w:t>
      </w:r>
      <w:r>
        <w:t xml:space="preserve">R$ 23,600.00 due upon approval of high-fidelity UI designs and prototype delivery.</w:t>
      </w:r>
    </w:p>
    <w:p>
      <w:pPr>
        <w:numPr>
          <w:ilvl w:val="0"/>
          <w:numId w:val="1001"/>
        </w:numPr>
        <w:pStyle w:val="Compact"/>
      </w:pPr>
      <w:r>
        <w:rPr>
          <w:bCs/>
          <w:b/>
        </w:rPr>
        <w:t xml:space="preserve">30% Final Payment:</w:t>
      </w:r>
      <w:r>
        <w:t xml:space="preserve"> </w:t>
      </w:r>
      <w:r>
        <w:t xml:space="preserve">R$ 17,700.00 due upon final handoff, acceptance of all deliverables, and completion of the post-launch support window.</w:t>
      </w:r>
    </w:p>
    <w:p>
      <w:pPr>
        <w:numPr>
          <w:ilvl w:val="0"/>
          <w:numId w:val="1001"/>
        </w:numPr>
        <w:pStyle w:val="Compact"/>
      </w:pPr>
      <w:r>
        <w:t xml:space="preserve">All payments to be made via bank transfer (TED/PIX) to the account details provided in the formal invoice. Prices are quoted in Brazilian Reais (BRL) and are inclusive of applicable taxes as per Brazilian fiscal regulations in São Paulo.</w:t>
      </w:r>
    </w:p>
    <w:p>
      <w:pPr>
        <w:pStyle w:val="FirstParagraph"/>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market conditions and resource availability.</w:t>
      </w:r>
    </w:p>
    <w:p>
      <w:pPr>
        <w:numPr>
          <w:ilvl w:val="0"/>
          <w:numId w:val="1002"/>
        </w:numPr>
        <w:pStyle w:val="Compact"/>
      </w:pPr>
      <w:r>
        <w:t xml:space="preserve">All intellectual property rights for the final deliverables will transfer to the client upon full payment. PixelCraft Digital Studio retains the right to display the work in its portfolio unless otherwise agreed in writing.</w:t>
      </w:r>
    </w:p>
    <w:p>
      <w:pPr>
        <w:numPr>
          <w:ilvl w:val="0"/>
          <w:numId w:val="1002"/>
        </w:numPr>
        <w:pStyle w:val="Compact"/>
      </w:pPr>
      <w:r>
        <w:t xml:space="preserve">The</w:t>
      </w:r>
      <w:r>
        <w:t xml:space="preserve"> </w:t>
      </w:r>
      <w:r>
        <w:t xml:space="preserve">UX UI Designer</w:t>
      </w:r>
      <w:r>
        <w:t xml:space="preserve"> </w:t>
      </w:r>
      <w:r>
        <w:t xml:space="preserve">scope is limited to the items listed above. Any additional features, platforms, or revisions beyond the agreed scope will be quoted separately as a change order.</w:t>
      </w:r>
    </w:p>
    <w:p>
      <w:pPr>
        <w:numPr>
          <w:ilvl w:val="0"/>
          <w:numId w:val="1002"/>
        </w:numPr>
        <w:pStyle w:val="Compact"/>
      </w:pPr>
      <w:r>
        <w:t xml:space="preserve">Client is responsible for providing all necessary content, brand assets, and access to existing systems within 5 business days of project kickoff.</w:t>
      </w:r>
    </w:p>
    <w:p>
      <w:pPr>
        <w:numPr>
          <w:ilvl w:val="0"/>
          <w:numId w:val="1002"/>
        </w:numPr>
        <w:pStyle w:val="Compact"/>
      </w:pPr>
      <w:r>
        <w:t xml:space="preserve">This engagement is governed by the laws of the State of São Paulo, Brazil. Any disputes shall be resolved through arbitration in the city of São Paulo.</w:t>
      </w:r>
    </w:p>
    <w:p>
      <w:pPr>
        <w:numPr>
          <w:ilvl w:val="0"/>
          <w:numId w:val="1002"/>
        </w:numPr>
        <w:pStyle w:val="Compact"/>
      </w:pPr>
      <w:r>
        <w:t xml:space="preserve">Confidentiality: Both parties agree to maintain strict confidentiality regarding all proprietary information exchanged during the course of this project, in compliance with Brazil's General Data Protection Law (LGPD).</w:t>
      </w:r>
    </w:p>
    <w:p>
      <w:pPr>
        <w:numPr>
          <w:ilvl w:val="0"/>
          <w:numId w:val="1002"/>
        </w:numPr>
        <w:pStyle w:val="Compact"/>
      </w:pPr>
      <w:r>
        <w:t xml:space="preserve">Force Majeure: Neither party shall be liable for delays caused by events beyond reasonable control, including but not limited to natural disasters, government mandates, or widespread infrastructure failures in the São Paulo metropolitan area.</w:t>
      </w:r>
    </w:p>
    <w:p>
      <w:pPr>
        <w:pStyle w:val="FirstParagraph"/>
      </w:pPr>
      <w:r>
        <w:t xml:space="preserve">Acceptance</w:t>
      </w:r>
    </w:p>
    <w:p>
      <w:pPr>
        <w:pStyle w:val="BodyText"/>
      </w:pPr>
      <w:r>
        <w:t xml:space="preserve">By signing below, both parties acknowledge and agree to the terms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performed in</w:t>
      </w:r>
      <w:r>
        <w:t xml:space="preserve"> </w:t>
      </w:r>
      <w:r>
        <w:t xml:space="preserve">Brazil São Paulo</w:t>
      </w:r>
      <w:r>
        <w:t xml:space="preserve">. This document, once countersigned, constitutes a binding service agreement between the parties.</w:t>
      </w:r>
    </w:p>
    <w:p>
      <w:pPr>
        <w:pStyle w:val="BodyText"/>
      </w:pPr>
      <w:r>
        <w:rPr>
          <w:bCs/>
          <w:b/>
        </w:rPr>
        <w:t xml:space="preserve">PixelCraft Digital Studio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Client (Recipient)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QE-2025-0847 | PixelCraft Digital Studio | Av. Paulista, 1578 – São Paulo, SP – Brazil</w:t>
      </w:r>
    </w:p>
    <w:p>
      <w:pPr>
        <w:pStyle w:val="BodyText"/>
      </w:pPr>
      <w:r>
        <w:t xml:space="preserve">This document was generated on 14 June 2025. For inquiries, please contact quotes@pixelcraft.com.br or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Brazil São Paulo</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