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UX UI Designer Services — Colombia Bogotá</w:t>
      </w:r>
    </w:p>
    <w:p>
      <w:pPr>
        <w:pStyle w:val="BodyText"/>
      </w:pPr>
      <w:r>
        <w:t xml:space="preserve">Document Ref: QE-BOG-2025-0472</w:t>
      </w:r>
    </w:p>
    <w:bookmarkEnd w:id="20"/>
    <w:p>
      <w:pPr>
        <w:pStyle w:val="BodyText"/>
      </w:pPr>
      <w:r>
        <w:rPr>
          <w:bCs/>
          <w:b/>
        </w:rPr>
        <w:t xml:space="preserve">Prepared By:</w:t>
      </w:r>
      <w:r>
        <w:t xml:space="preserve"> </w:t>
      </w:r>
      <w:r>
        <w:t xml:space="preserve">PixelCraft Digital Solutions S.A.S.</w:t>
      </w:r>
      <w:r>
        <w:br/>
      </w:r>
      <w:r>
        <w:t xml:space="preserve">Calle 93 #15-42, Of. 301</w:t>
      </w:r>
      <w:r>
        <w:br/>
      </w:r>
      <w:r>
        <w:t xml:space="preserve">Bogotá, Colombia</w:t>
      </w:r>
      <w:r>
        <w:br/>
      </w:r>
      <w:r>
        <w:t xml:space="preserve">NIT: 901.234.567-8</w:t>
      </w:r>
      <w:r>
        <w:br/>
      </w:r>
      <w:r>
        <w:t xml:space="preserve">contact@pixelcraft.co</w:t>
      </w:r>
    </w:p>
    <w:p>
      <w:pPr>
        <w:pStyle w:val="BodyText"/>
      </w:pPr>
      <w:r>
        <w:rPr>
          <w:bCs/>
          <w:b/>
        </w:rPr>
        <w:t xml:space="preserve">Prepared For:</w:t>
      </w:r>
      <w:r>
        <w:t xml:space="preserve"> </w:t>
      </w:r>
      <w:r>
        <w:t xml:space="preserve">[Client Company Name]</w:t>
      </w:r>
      <w:r>
        <w:br/>
      </w:r>
      <w:r>
        <w:t xml:space="preserve">[Client Address]</w:t>
      </w:r>
      <w:r>
        <w:br/>
      </w:r>
      <w:r>
        <w:t xml:space="preserve">Bogotá, Colombia</w:t>
      </w:r>
      <w:r>
        <w:br/>
      </w:r>
      <w:r>
        <w:t xml:space="preserve">NIT: [Client NIT]</w:t>
      </w:r>
    </w:p>
    <w:p>
      <w:pPr>
        <w:pStyle w:val="BodyText"/>
      </w:pPr>
      <w:r>
        <w:rPr>
          <w:bCs/>
          <w:b/>
        </w:rPr>
        <w:t xml:space="preserve">Quotation Details:</w:t>
      </w:r>
      <w:r>
        <w:t xml:space="preserve"> </w:t>
      </w:r>
      <w:r>
        <w:t xml:space="preserve">Date Issued: June 15, 2025</w:t>
      </w:r>
      <w:r>
        <w:br/>
      </w:r>
      <w:r>
        <w:t xml:space="preserve">Valid Until: July 15, 2025</w:t>
      </w:r>
      <w:r>
        <w:br/>
      </w:r>
      <w:r>
        <w:t xml:space="preserve">Currency: COP (Colombian Peso)</w:t>
      </w:r>
      <w:r>
        <w:br/>
      </w:r>
      <w:r>
        <w:t xml:space="preserve">Project Duration: 12 Weeks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PixelCraft Digital Solutions S.A.S. to provide a comprehensive breakdown of professional</w:t>
      </w:r>
      <w:r>
        <w:t xml:space="preserve"> </w:t>
      </w:r>
      <w:r>
        <w:t xml:space="preserve">UX UI Designer</w:t>
      </w:r>
      <w:r>
        <w:t xml:space="preserve"> </w:t>
      </w:r>
      <w:r>
        <w:t xml:space="preserve">services to be delivered in</w:t>
      </w:r>
      <w:r>
        <w:t xml:space="preserve"> </w:t>
      </w:r>
      <w:r>
        <w:t xml:space="preserve">Colombia Bogotá</w:t>
      </w:r>
      <w:r>
        <w:t xml:space="preserve">. Our team of certified UX UI Designers has been selected to undertake the complete design transformation of your digital product, ensuring that every interaction, visual element, and user journey aligns with the highest international standards while remaining culturally relevant to the Colombian market. This Quotation Estimate reflects our commitment to transparency, competitive pricing, and exceptional design quality tailored specifically for clients operating in Colombia Bogotá and the broader Latin American region.</w:t>
      </w:r>
    </w:p>
    <w:bookmarkEnd w:id="21"/>
    <w:bookmarkStart w:id="22" w:name="scope-of-work-ux-ui-designer-services"/>
    <w:p>
      <w:pPr>
        <w:pStyle w:val="Heading2"/>
      </w:pPr>
      <w:r>
        <w:t xml:space="preserve">2. Scope of Work — UX UI Designer Services</w:t>
      </w:r>
    </w:p>
    <w:p>
      <w:pPr>
        <w:pStyle w:val="FirstParagraph"/>
      </w:pPr>
      <w:r>
        <w:t xml:space="preserve">The following</w:t>
      </w:r>
      <w:r>
        <w:t xml:space="preserve"> </w:t>
      </w:r>
      <w:r>
        <w:t xml:space="preserve">Quotation Estimate</w:t>
      </w:r>
      <w:r>
        <w:t xml:space="preserve"> </w:t>
      </w:r>
      <w:r>
        <w:t xml:space="preserve">covers the full engagement of our senior</w:t>
      </w:r>
      <w:r>
        <w:t xml:space="preserve"> </w:t>
      </w:r>
      <w:r>
        <w:t xml:space="preserve">UX UI Designer</w:t>
      </w:r>
      <w:r>
        <w:t xml:space="preserve"> </w:t>
      </w:r>
      <w:r>
        <w:t xml:space="preserve">team based in Colombia Bogotá. The scope encompasses user research, information architecture, wireframing, visual design, prototyping, usability testing, and final design system delivery. All work will be conducted in accordance with Colombian labor regulations and intellectual property law (Ley 23 de 1982).</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User Research &amp; Competitive Analysis (UX UI Designer)</w:t>
            </w:r>
          </w:p>
        </w:tc>
        <w:tc>
          <w:tcPr/>
          <w:p>
            <w:pPr>
              <w:pStyle w:val="Compact"/>
              <w:jc w:val="left"/>
            </w:pPr>
            <w:r>
              <w:t xml:space="preserve">2 Weeks</w:t>
            </w:r>
          </w:p>
        </w:tc>
        <w:tc>
          <w:tcPr/>
          <w:p>
            <w:pPr>
              <w:pStyle w:val="Compact"/>
              <w:jc w:val="left"/>
            </w:pPr>
            <w:r>
              <w:t xml:space="preserve">$4,500,000 / wk</w:t>
            </w:r>
          </w:p>
        </w:tc>
        <w:tc>
          <w:tcPr/>
          <w:p>
            <w:pPr>
              <w:pStyle w:val="Compact"/>
              <w:jc w:val="left"/>
            </w:pPr>
            <w:r>
              <w:t xml:space="preserve">$9,000,000</w:t>
            </w:r>
          </w:p>
        </w:tc>
        <w:tc>
          <w:tcPr/>
          <w:p>
            <w:pPr>
              <w:pStyle w:val="Compact"/>
              <w:jc w:val="left"/>
            </w:pPr>
            <w:r>
              <w:t xml:space="preserve">Colombia Bogotá market focus</w:t>
            </w:r>
          </w:p>
        </w:tc>
      </w:tr>
      <w:tr>
        <w:tc>
          <w:tcPr/>
          <w:p>
            <w:pPr>
              <w:pStyle w:val="Compact"/>
              <w:jc w:val="left"/>
            </w:pPr>
            <w:r>
              <w:t xml:space="preserve">2</w:t>
            </w:r>
          </w:p>
        </w:tc>
        <w:tc>
          <w:tcPr/>
          <w:p>
            <w:pPr>
              <w:pStyle w:val="Compact"/>
              <w:jc w:val="left"/>
            </w:pPr>
            <w:r>
              <w:t xml:space="preserve">Information Architecture &amp; User Flows</w:t>
            </w:r>
          </w:p>
        </w:tc>
        <w:tc>
          <w:tcPr/>
          <w:p>
            <w:pPr>
              <w:pStyle w:val="Compact"/>
              <w:jc w:val="left"/>
            </w:pPr>
            <w:r>
              <w:t xml:space="preserve">2 Weeks</w:t>
            </w:r>
          </w:p>
        </w:tc>
        <w:tc>
          <w:tcPr/>
          <w:p>
            <w:pPr>
              <w:pStyle w:val="Compact"/>
              <w:jc w:val="left"/>
            </w:pPr>
            <w:r>
              <w:t xml:space="preserve">$4,200,000 / wk</w:t>
            </w:r>
          </w:p>
        </w:tc>
        <w:tc>
          <w:tcPr/>
          <w:p>
            <w:pPr>
              <w:pStyle w:val="Compact"/>
              <w:jc w:val="left"/>
            </w:pPr>
            <w:r>
              <w:t xml:space="preserve">$8,400,000</w:t>
            </w:r>
          </w:p>
        </w:tc>
        <w:tc>
          <w:tcPr/>
          <w:p>
            <w:pPr>
              <w:pStyle w:val="Compact"/>
              <w:jc w:val="left"/>
            </w:pPr>
            <w:r>
              <w:t xml:space="preserve">Includes stakeholder workshops</w:t>
            </w:r>
          </w:p>
        </w:tc>
      </w:tr>
      <w:tr>
        <w:tc>
          <w:tcPr/>
          <w:p>
            <w:pPr>
              <w:pStyle w:val="Compact"/>
              <w:jc w:val="left"/>
            </w:pPr>
            <w:r>
              <w:t xml:space="preserve">3</w:t>
            </w:r>
          </w:p>
        </w:tc>
        <w:tc>
          <w:tcPr/>
          <w:p>
            <w:pPr>
              <w:pStyle w:val="Compact"/>
              <w:jc w:val="left"/>
            </w:pPr>
            <w:r>
              <w:t xml:space="preserve">Wireframing &amp; Low-Fidelity Prototypes</w:t>
            </w:r>
          </w:p>
        </w:tc>
        <w:tc>
          <w:tcPr/>
          <w:p>
            <w:pPr>
              <w:pStyle w:val="Compact"/>
              <w:jc w:val="left"/>
            </w:pPr>
            <w:r>
              <w:t xml:space="preserve">2 Weeks</w:t>
            </w:r>
          </w:p>
        </w:tc>
        <w:tc>
          <w:tcPr/>
          <w:p>
            <w:pPr>
              <w:pStyle w:val="Compact"/>
              <w:jc w:val="left"/>
            </w:pPr>
            <w:r>
              <w:t xml:space="preserve">$4,000,000 / wk</w:t>
            </w:r>
          </w:p>
        </w:tc>
        <w:tc>
          <w:tcPr/>
          <w:p>
            <w:pPr>
              <w:pStyle w:val="Compact"/>
              <w:jc w:val="left"/>
            </w:pPr>
            <w:r>
              <w:t xml:space="preserve">$8,000,000</w:t>
            </w:r>
          </w:p>
        </w:tc>
        <w:tc>
          <w:tcPr/>
          <w:p>
            <w:pPr>
              <w:pStyle w:val="Compact"/>
              <w:jc w:val="left"/>
            </w:pPr>
            <w:r>
              <w:t xml:space="preserve">Figma-based deliverables</w:t>
            </w:r>
          </w:p>
        </w:tc>
      </w:tr>
      <w:tr>
        <w:tc>
          <w:tcPr/>
          <w:p>
            <w:pPr>
              <w:pStyle w:val="Compact"/>
              <w:jc w:val="left"/>
            </w:pPr>
            <w:r>
              <w:t xml:space="preserve">4</w:t>
            </w:r>
          </w:p>
        </w:tc>
        <w:tc>
          <w:tcPr/>
          <w:p>
            <w:pPr>
              <w:pStyle w:val="Compact"/>
              <w:jc w:val="left"/>
            </w:pPr>
            <w:r>
              <w:t xml:space="preserve">High-Fidelity UI Design &amp; Visual Identity</w:t>
            </w:r>
          </w:p>
        </w:tc>
        <w:tc>
          <w:tcPr/>
          <w:p>
            <w:pPr>
              <w:pStyle w:val="Compact"/>
              <w:jc w:val="left"/>
            </w:pPr>
            <w:r>
              <w:t xml:space="preserve">3 Weeks</w:t>
            </w:r>
          </w:p>
        </w:tc>
        <w:tc>
          <w:tcPr/>
          <w:p>
            <w:pPr>
              <w:pStyle w:val="Compact"/>
              <w:jc w:val="left"/>
            </w:pPr>
            <w:r>
              <w:t xml:space="preserve">$4,800,000 / wk</w:t>
            </w:r>
          </w:p>
        </w:tc>
        <w:tc>
          <w:tcPr/>
          <w:p>
            <w:pPr>
              <w:pStyle w:val="Compact"/>
              <w:jc w:val="left"/>
            </w:pPr>
            <w:r>
              <w:t xml:space="preserve">$14,400,000</w:t>
            </w:r>
          </w:p>
        </w:tc>
        <w:tc>
          <w:tcPr/>
          <w:p>
            <w:pPr>
              <w:pStyle w:val="Compact"/>
              <w:jc w:val="left"/>
            </w:pPr>
            <w:r>
              <w:t xml:space="preserve">Full design system included</w:t>
            </w:r>
          </w:p>
        </w:tc>
      </w:tr>
      <w:tr>
        <w:tc>
          <w:tcPr/>
          <w:p>
            <w:pPr>
              <w:pStyle w:val="Compact"/>
              <w:jc w:val="left"/>
            </w:pPr>
            <w:r>
              <w:t xml:space="preserve">5</w:t>
            </w:r>
          </w:p>
        </w:tc>
        <w:tc>
          <w:tcPr/>
          <w:p>
            <w:pPr>
              <w:pStyle w:val="Compact"/>
              <w:jc w:val="left"/>
            </w:pPr>
            <w:r>
              <w:t xml:space="preserve">Interactive Prototyping &amp; Micro-Interactions</w:t>
            </w:r>
          </w:p>
        </w:tc>
        <w:tc>
          <w:tcPr/>
          <w:p>
            <w:pPr>
              <w:pStyle w:val="Compact"/>
              <w:jc w:val="left"/>
            </w:pPr>
            <w:r>
              <w:t xml:space="preserve">1 Week</w:t>
            </w:r>
          </w:p>
        </w:tc>
        <w:tc>
          <w:tcPr/>
          <w:p>
            <w:pPr>
              <w:pStyle w:val="Compact"/>
              <w:jc w:val="left"/>
            </w:pPr>
            <w:r>
              <w:t xml:space="preserve">$4,500,000 / wk</w:t>
            </w:r>
          </w:p>
        </w:tc>
        <w:tc>
          <w:tcPr/>
          <w:p>
            <w:pPr>
              <w:pStyle w:val="Compact"/>
              <w:jc w:val="left"/>
            </w:pPr>
            <w:r>
              <w:t xml:space="preserve">$4,500,000</w:t>
            </w:r>
          </w:p>
        </w:tc>
        <w:tc>
          <w:tcPr/>
          <w:p>
            <w:pPr>
              <w:pStyle w:val="Compact"/>
              <w:jc w:val="left"/>
            </w:pPr>
            <w:r>
              <w:t xml:space="preserve">Clickable Figma prototype</w:t>
            </w:r>
          </w:p>
        </w:tc>
      </w:tr>
      <w:tr>
        <w:tc>
          <w:tcPr/>
          <w:p>
            <w:pPr>
              <w:pStyle w:val="Compact"/>
              <w:jc w:val="left"/>
            </w:pPr>
            <w:r>
              <w:t xml:space="preserve">6</w:t>
            </w:r>
          </w:p>
        </w:tc>
        <w:tc>
          <w:tcPr/>
          <w:p>
            <w:pPr>
              <w:pStyle w:val="Compact"/>
              <w:jc w:val="left"/>
            </w:pPr>
            <w:r>
              <w:t xml:space="preserve">Usability Testing &amp; Iteration (2 rounds)</w:t>
            </w:r>
          </w:p>
        </w:tc>
        <w:tc>
          <w:tcPr/>
          <w:p>
            <w:pPr>
              <w:pStyle w:val="Compact"/>
              <w:jc w:val="left"/>
            </w:pPr>
            <w:r>
              <w:t xml:space="preserve">1 Week</w:t>
            </w:r>
          </w:p>
        </w:tc>
        <w:tc>
          <w:tcPr/>
          <w:p>
            <w:pPr>
              <w:pStyle w:val="Compact"/>
              <w:jc w:val="left"/>
            </w:pPr>
            <w:r>
              <w:t xml:space="preserve">$3,800,000 / wk</w:t>
            </w:r>
          </w:p>
        </w:tc>
        <w:tc>
          <w:tcPr/>
          <w:p>
            <w:pPr>
              <w:pStyle w:val="Compact"/>
              <w:jc w:val="left"/>
            </w:pPr>
            <w:r>
              <w:t xml:space="preserve">$3,800,000</w:t>
            </w:r>
          </w:p>
        </w:tc>
        <w:tc>
          <w:tcPr/>
          <w:p>
            <w:pPr>
              <w:pStyle w:val="Compact"/>
              <w:jc w:val="left"/>
            </w:pPr>
            <w:r>
              <w:t xml:space="preserve">8–12 Colombian user participants</w:t>
            </w:r>
          </w:p>
        </w:tc>
      </w:tr>
      <w:tr>
        <w:tc>
          <w:tcPr/>
          <w:p>
            <w:pPr>
              <w:pStyle w:val="Compact"/>
              <w:jc w:val="left"/>
            </w:pPr>
            <w:r>
              <w:t xml:space="preserve">7</w:t>
            </w:r>
          </w:p>
        </w:tc>
        <w:tc>
          <w:tcPr/>
          <w:p>
            <w:pPr>
              <w:pStyle w:val="Compact"/>
              <w:jc w:val="left"/>
            </w:pPr>
            <w:r>
              <w:t xml:space="preserve">Design Handoff &amp; Developer Support</w:t>
            </w:r>
          </w:p>
        </w:tc>
        <w:tc>
          <w:tcPr/>
          <w:p>
            <w:pPr>
              <w:pStyle w:val="Compact"/>
              <w:jc w:val="left"/>
            </w:pPr>
            <w:r>
              <w:t xml:space="preserve">1 Week</w:t>
            </w:r>
          </w:p>
        </w:tc>
        <w:tc>
          <w:tcPr/>
          <w:p>
            <w:pPr>
              <w:pStyle w:val="Compact"/>
              <w:jc w:val="left"/>
            </w:pPr>
            <w:r>
              <w:t xml:space="preserve">$3,500,000 / wk</w:t>
            </w:r>
          </w:p>
        </w:tc>
        <w:tc>
          <w:tcPr/>
          <w:p>
            <w:pPr>
              <w:pStyle w:val="Compact"/>
              <w:jc w:val="left"/>
            </w:pPr>
            <w:r>
              <w:t xml:space="preserve">$3,500,000</w:t>
            </w:r>
          </w:p>
        </w:tc>
        <w:tc>
          <w:tcPr/>
          <w:p>
            <w:pPr>
              <w:pStyle w:val="Compact"/>
              <w:jc w:val="left"/>
            </w:pPr>
            <w:r>
              <w:t xml:space="preserve">Spec sheets, assets, QA</w:t>
            </w:r>
          </w:p>
        </w:tc>
      </w:tr>
      <w:tr>
        <w:tc>
          <w:tcPr/>
          <w:p>
            <w:pPr>
              <w:pStyle w:val="Compact"/>
              <w:jc w:val="left"/>
            </w:pPr>
            <w:r>
              <w:t xml:space="preserve">8</w:t>
            </w:r>
          </w:p>
        </w:tc>
        <w:tc>
          <w:tcPr/>
          <w:p>
            <w:pPr>
              <w:pStyle w:val="Compact"/>
              <w:jc w:val="left"/>
            </w:pPr>
            <w:r>
              <w:t xml:space="preserve">Project Management &amp; Coordination</w:t>
            </w:r>
          </w:p>
        </w:tc>
        <w:tc>
          <w:tcPr/>
          <w:p>
            <w:pPr>
              <w:pStyle w:val="Compact"/>
              <w:jc w:val="left"/>
            </w:pPr>
            <w:r>
              <w:t xml:space="preserve">12 Weeks</w:t>
            </w:r>
          </w:p>
        </w:tc>
        <w:tc>
          <w:tcPr/>
          <w:p>
            <w:pPr>
              <w:pStyle w:val="Compact"/>
              <w:jc w:val="left"/>
            </w:pPr>
            <w:r>
              <w:t xml:space="preserve">$1,200,000 / wk</w:t>
            </w:r>
          </w:p>
        </w:tc>
        <w:tc>
          <w:tcPr/>
          <w:p>
            <w:pPr>
              <w:pStyle w:val="Compact"/>
              <w:jc w:val="left"/>
            </w:pPr>
            <w:r>
              <w:t xml:space="preserve">$14,400,000</w:t>
            </w:r>
          </w:p>
        </w:tc>
        <w:tc>
          <w:tcPr/>
          <w:p>
            <w:pPr>
              <w:pStyle w:val="Compact"/>
              <w:jc w:val="left"/>
            </w:pPr>
            <w:r>
              <w:t xml:space="preserve">Dedicated PM in Bogotá</w:t>
            </w:r>
          </w:p>
        </w:tc>
      </w:tr>
      <w:tr>
        <w:tc>
          <w:tcPr>
            <w:gridSpan w:val="4"/>
          </w:tcPr>
          <w:p>
            <w:pPr>
              <w:pStyle w:val="Compact"/>
              <w:jc w:val="left"/>
            </w:pPr>
            <w:r>
              <w:t xml:space="preserve">TOTAL QUOTATION ESTIMATE (Before IVA)</w:t>
            </w:r>
          </w:p>
        </w:tc>
        <w:tc>
          <w:tcPr/>
          <w:p>
            <w:pPr>
              <w:pStyle w:val="Compact"/>
              <w:jc w:val="left"/>
            </w:pPr>
            <w:r>
              <w:t xml:space="preserve">$66,000,000</w:t>
            </w:r>
          </w:p>
        </w:tc>
        <w:tc>
          <w:tcPr/>
          <w:p>
            <w:pPr>
              <w:pStyle w:val="Compact"/>
            </w:pPr>
          </w:p>
        </w:tc>
      </w:tr>
      <w:tr>
        <w:tc>
          <w:tcPr>
            <w:gridSpan w:val="4"/>
          </w:tcPr>
          <w:p>
            <w:pPr>
              <w:pStyle w:val="Compact"/>
              <w:jc w:val="left"/>
            </w:pPr>
            <w:r>
              <w:t xml:space="preserve">IVA (19% — Colombian Tax)</w:t>
            </w:r>
          </w:p>
        </w:tc>
        <w:tc>
          <w:tcPr/>
          <w:p>
            <w:pPr>
              <w:pStyle w:val="Compact"/>
              <w:jc w:val="left"/>
            </w:pPr>
            <w:r>
              <w:t xml:space="preserve">$12,540,000</w:t>
            </w:r>
          </w:p>
        </w:tc>
        <w:tc>
          <w:tcPr/>
          <w:p>
            <w:pPr>
              <w:pStyle w:val="Compact"/>
            </w:pPr>
          </w:p>
        </w:tc>
      </w:tr>
      <w:tr>
        <w:tc>
          <w:tcPr>
            <w:gridSpan w:val="4"/>
          </w:tcPr>
          <w:p>
            <w:pPr>
              <w:pStyle w:val="Compact"/>
              <w:jc w:val="left"/>
            </w:pPr>
            <w:r>
              <w:t xml:space="preserve">GRAND TOTAL (COP)</w:t>
            </w:r>
          </w:p>
        </w:tc>
        <w:tc>
          <w:tcPr/>
          <w:p>
            <w:pPr>
              <w:pStyle w:val="Compact"/>
              <w:jc w:val="left"/>
            </w:pPr>
            <w:r>
              <w:t xml:space="preserve">$78,540,000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market conditions in Colombia Bogotá.</w:t>
      </w:r>
    </w:p>
    <w:p>
      <w:pPr>
        <w:numPr>
          <w:ilvl w:val="0"/>
          <w:numId w:val="1001"/>
        </w:numPr>
        <w:pStyle w:val="Compact"/>
      </w:pPr>
      <w:r>
        <w:t xml:space="preserve">Payment terms: 40% upon contract signing, 30% at midpoint (Week 6), and 30% upon final delivery and client acceptance. All payments in COP via bank transfer to a Colombian financial institution.</w:t>
      </w:r>
    </w:p>
    <w:p>
      <w:pPr>
        <w:numPr>
          <w:ilvl w:val="0"/>
          <w:numId w:val="1001"/>
        </w:numPr>
        <w:pStyle w:val="Compact"/>
      </w:pPr>
      <w:r>
        <w:t xml:space="preserve">The</w:t>
      </w:r>
      <w:r>
        <w:t xml:space="preserve"> </w:t>
      </w:r>
      <w:r>
        <w:t xml:space="preserve">UX UI Designer</w:t>
      </w:r>
      <w:r>
        <w:t xml:space="preserve"> </w:t>
      </w:r>
      <w:r>
        <w:t xml:space="preserve">engagement includes a maximum of two (2) revision cycles per deliverable. Additional revisions will be billed at $850,000 COP per hour.</w:t>
      </w:r>
    </w:p>
    <w:p>
      <w:pPr>
        <w:numPr>
          <w:ilvl w:val="0"/>
          <w:numId w:val="1001"/>
        </w:numPr>
        <w:pStyle w:val="Compact"/>
      </w:pPr>
      <w:r>
        <w:t xml:space="preserve">All intellectual property rights to final design deliverables transfer to the client upon full payment. Source files (Figma, Adobe XD) will be delivered in editable format.</w:t>
      </w:r>
    </w:p>
    <w:p>
      <w:pPr>
        <w:numPr>
          <w:ilvl w:val="0"/>
          <w:numId w:val="1001"/>
        </w:numPr>
        <w:pStyle w:val="Compact"/>
      </w:pPr>
      <w:r>
        <w:t xml:space="preserve">This Quotation Estimate is governed by the commercial laws of the Republic of Colombia. Any disputes shall be resolved in the courts of Bogotá, D.C.</w:t>
      </w:r>
    </w:p>
    <w:p>
      <w:pPr>
        <w:numPr>
          <w:ilvl w:val="0"/>
          <w:numId w:val="1001"/>
        </w:numPr>
        <w:pStyle w:val="Compact"/>
      </w:pPr>
      <w:r>
        <w:t xml:space="preserve">Confidentiality: Both parties agree to maintain strict NDA terms. All project data, user research findings, and design assets remain the exclusive property of the client.</w:t>
      </w:r>
    </w:p>
    <w:p>
      <w:pPr>
        <w:numPr>
          <w:ilvl w:val="0"/>
          <w:numId w:val="1001"/>
        </w:numPr>
        <w:pStyle w:val="Compact"/>
      </w:pPr>
      <w:r>
        <w:t xml:space="preserve">Force Majeure: Neither party shall be liable for delays caused by events beyond reasonable control, including but not limited to natural disasters, government mandates, or infrastructure failures in Colombia Bogotá.</w:t>
      </w:r>
    </w:p>
    <w:p>
      <w:pPr>
        <w:numPr>
          <w:ilvl w:val="0"/>
          <w:numId w:val="1001"/>
        </w:numPr>
        <w:pStyle w:val="Compact"/>
      </w:pPr>
      <w:r>
        <w:t xml:space="preserve">The UX UI Designer team guarantees a minimum of 95% adherence to the agreed project timeline. Delays exceeding 5 business days due to provider fault will result in a 2% weekly discount on the outstanding balance.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 engagement of the</w:t>
      </w:r>
      <w:r>
        <w:t xml:space="preserve"> </w:t>
      </w:r>
      <w:r>
        <w:t xml:space="preserve">UX UI Designer</w:t>
      </w:r>
      <w:r>
        <w:t xml:space="preserve"> </w:t>
      </w:r>
      <w:r>
        <w:t xml:space="preserve">services in</w:t>
      </w:r>
      <w:r>
        <w:t xml:space="preserve"> </w:t>
      </w:r>
      <w:r>
        <w:t xml:space="preserve">Colombia Bogotá</w:t>
      </w:r>
      <w:r>
        <w:t xml:space="preserve">. This document constitutes a binding commercial proposal upon countersignature and does not represent a final contract until a formal service agreement is executed.</w:t>
      </w:r>
    </w:p>
    <w:p>
      <w:pPr>
        <w:pStyle w:val="BodyText"/>
      </w:pPr>
      <w:r>
        <w:rPr>
          <w:bCs/>
          <w:b/>
        </w:rPr>
        <w:t xml:space="preserve">For PixelCraft Digital Solutions S.A.S.</w:t>
      </w:r>
      <w:r>
        <w:br/>
      </w:r>
      <w:r>
        <w:t xml:space="preserve">Name: _________________________</w:t>
      </w:r>
      <w:r>
        <w:br/>
      </w:r>
      <w:r>
        <w:t xml:space="preserve">Title: Lead UX UI Designer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identified above and is non-transferable.</w:t>
      </w:r>
      <w:r>
        <w:t xml:space="preserve"> </w:t>
      </w:r>
      <w:r>
        <w:t xml:space="preserve">PixelCraft Digital Solutions S.A.S. — Bogotá, Colombia — NIT 901.234.567-8.</w:t>
      </w:r>
      <w:r>
        <w:t xml:space="preserve"> </w:t>
      </w:r>
      <w:r>
        <w:t xml:space="preserve">All rates are quoted in Colombian Pesos (COP) and are subject to the 19% IVA as per Colombian tax regulations.</w:t>
      </w:r>
      <w:r>
        <w:t xml:space="preserve"> </w:t>
      </w:r>
      <w:r>
        <w:t xml:space="preserve">For questions regarding this Quotation Estimate or the UX UI Designer scope, please contact our Bogotá office at +57 (601) 555-0142.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Colombia Bogotá</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