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UX UI Designer Services</w:t>
      </w:r>
    </w:p>
    <w:p>
      <w:pPr>
        <w:pStyle w:val="BodyText"/>
      </w:pPr>
      <w:r>
        <w:t xml:space="preserve">Cairo, Egypt — Digital Design &amp; User Experience Solutions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QTE-CAIRO-2025-0472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Studio Nile Digital — UX UI Designer Division, 23 Tahrir Square, Downtown, Cairo, Egypt</w:t>
            </w:r>
          </w:p>
        </w:tc>
      </w:tr>
      <w:tr>
        <w:tc>
          <w:tcPr/>
          <w:p>
            <w:pPr>
              <w:pStyle w:val="Compact"/>
              <w:jc w:val="left"/>
            </w:pPr>
            <w:r>
              <w:t xml:space="preserve">Prepared For</w:t>
            </w:r>
          </w:p>
        </w:tc>
        <w:tc>
          <w:tcPr/>
          <w:p>
            <w:pPr>
              <w:pStyle w:val="Compact"/>
              <w:jc w:val="left"/>
            </w:pPr>
            <w:r>
              <w:t xml:space="preserve">[Client Company Name], [Client Address], Cairo, Egypt</w:t>
            </w:r>
          </w:p>
        </w:tc>
      </w:tr>
      <w:tr>
        <w:tc>
          <w:tcPr/>
          <w:p>
            <w:pPr>
              <w:pStyle w:val="Compact"/>
              <w:jc w:val="left"/>
            </w:pPr>
            <w:r>
              <w:t xml:space="preserve">Project Reference</w:t>
            </w:r>
          </w:p>
        </w:tc>
        <w:tc>
          <w:tcPr/>
          <w:p>
            <w:pPr>
              <w:pStyle w:val="Compact"/>
              <w:jc w:val="left"/>
            </w:pPr>
            <w:r>
              <w:t xml:space="preserve">UX/UI Redesign &amp; New Product Interface Development</w:t>
            </w:r>
          </w:p>
        </w:tc>
      </w:tr>
      <w:tr>
        <w:tc>
          <w:tcPr/>
          <w:p>
            <w:pPr>
              <w:pStyle w:val="Compact"/>
              <w:jc w:val="left"/>
            </w:pPr>
            <w:r>
              <w:t xml:space="preserve">Currency</w:t>
            </w:r>
          </w:p>
        </w:tc>
        <w:tc>
          <w:tcPr/>
          <w:p>
            <w:pPr>
              <w:pStyle w:val="Compact"/>
              <w:jc w:val="left"/>
            </w:pPr>
            <w:r>
              <w:t xml:space="preserve">EGP (Egyptian Pound) — All rates are inclusive of 14% VAT</w:t>
            </w:r>
          </w:p>
        </w:tc>
      </w:tr>
    </w:tbl>
    <w:bookmarkStart w:id="21" w:name="executive-summary"/>
    <w:p>
      <w:pPr>
        <w:pStyle w:val="Heading2"/>
      </w:pPr>
      <w:r>
        <w:t xml:space="preserve">1. Executive Summary</w:t>
      </w:r>
    </w:p>
    <w:p>
      <w:pPr>
        <w:pStyle w:val="FirstParagraph"/>
      </w:pPr>
      <w:r>
        <w:t xml:space="preserve">This Quotation Estimate is issued by Studio Nile Digital, a leading UX UI Designer firm headquartered in Egypt Cairo, to provide a comprehensive and transparent breakdown of costs associated with the design, prototyping, and delivery of a full user experience and user interface solution. Our team of senior UX UI Designer professionals in Egypt Cairo has assessed the project scope based on the requirements outlined in the initial consultation meeting held on 28 May 2025 at our office in Downtown Cairo. This Quotation Estimate covers all phases from user research through to final handover of design assets, and is structured to ensure full transparency for the client.</w:t>
      </w:r>
    </w:p>
    <w:bookmarkEnd w:id="21"/>
    <w:bookmarkStart w:id="22" w:name="scope-of-work-itemized-services"/>
    <w:p>
      <w:pPr>
        <w:pStyle w:val="Heading2"/>
      </w:pPr>
      <w:r>
        <w:t xml:space="preserve">2. Scope of Work &amp; Itemized Services</w:t>
      </w:r>
    </w:p>
    <w:p>
      <w:pPr>
        <w:pStyle w:val="FirstParagraph"/>
      </w:pPr>
      <w:r>
        <w:t xml:space="preserve">The following table details each deliverable, the estimated hours allocated, and the corresponding fee. All work will be executed by our dedicated UX UI Designer team based in Egypt Cairo, ensuring local market understanding, cultural relevance, and compliance with Egyptian digital accessibility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Estimated Hours</w:t>
            </w:r>
          </w:p>
        </w:tc>
        <w:tc>
          <w:tcPr/>
          <w:p>
            <w:pPr>
              <w:pStyle w:val="Compact"/>
              <w:jc w:val="left"/>
            </w:pPr>
            <w:r>
              <w:t xml:space="preserve">Rate (EGP/hr)</w:t>
            </w:r>
          </w:p>
        </w:tc>
        <w:tc>
          <w:tcPr/>
          <w:p>
            <w:pPr>
              <w:pStyle w:val="Compact"/>
              <w:jc w:val="left"/>
            </w:pPr>
            <w:r>
              <w:t xml:space="preserve">Subtotal (EGP)</w:t>
            </w:r>
          </w:p>
        </w:tc>
        <w:tc>
          <w:tcPr/>
          <w:p>
            <w:pPr>
              <w:pStyle w:val="Compact"/>
              <w:jc w:val="left"/>
            </w:pPr>
            <w:r>
              <w:t xml:space="preserve">Timeline</w:t>
            </w:r>
          </w:p>
        </w:tc>
      </w:tr>
      <w:tr>
        <w:tc>
          <w:tcPr/>
          <w:p>
            <w:pPr>
              <w:pStyle w:val="Compact"/>
              <w:jc w:val="left"/>
            </w:pPr>
            <w:r>
              <w:t xml:space="preserve">1</w:t>
            </w:r>
          </w:p>
        </w:tc>
        <w:tc>
          <w:tcPr/>
          <w:p>
            <w:pPr>
              <w:pStyle w:val="Compact"/>
              <w:jc w:val="left"/>
            </w:pPr>
            <w:r>
              <w:t xml:space="preserve">User Research &amp; Competitive Analysis — Conducting stakeholder interviews, user persona development, and competitive audit of existing products in the Egypt Cairo market.</w:t>
            </w:r>
          </w:p>
        </w:tc>
        <w:tc>
          <w:tcPr/>
          <w:p>
            <w:pPr>
              <w:pStyle w:val="Compact"/>
              <w:jc w:val="left"/>
            </w:pPr>
            <w:r>
              <w:t xml:space="preserve">40</w:t>
            </w:r>
          </w:p>
        </w:tc>
        <w:tc>
          <w:tcPr/>
          <w:p>
            <w:pPr>
              <w:pStyle w:val="Compact"/>
              <w:jc w:val="left"/>
            </w:pPr>
            <w:r>
              <w:t xml:space="preserve">1,200</w:t>
            </w:r>
          </w:p>
        </w:tc>
        <w:tc>
          <w:tcPr/>
          <w:p>
            <w:pPr>
              <w:pStyle w:val="Compact"/>
              <w:jc w:val="left"/>
            </w:pPr>
            <w:r>
              <w:t xml:space="preserve">48,000</w:t>
            </w:r>
          </w:p>
        </w:tc>
        <w:tc>
          <w:tcPr/>
          <w:p>
            <w:pPr>
              <w:pStyle w:val="Compact"/>
              <w:jc w:val="left"/>
            </w:pPr>
            <w:r>
              <w:t xml:space="preserve">Week 1–2</w:t>
            </w:r>
          </w:p>
        </w:tc>
      </w:tr>
      <w:tr>
        <w:tc>
          <w:tcPr/>
          <w:p>
            <w:pPr>
              <w:pStyle w:val="Compact"/>
              <w:jc w:val="left"/>
            </w:pPr>
            <w:r>
              <w:t xml:space="preserve">2</w:t>
            </w:r>
          </w:p>
        </w:tc>
        <w:tc>
          <w:tcPr/>
          <w:p>
            <w:pPr>
              <w:pStyle w:val="Compact"/>
              <w:jc w:val="left"/>
            </w:pPr>
            <w:r>
              <w:t xml:space="preserve">Information Architecture &amp; User Flow Mapping — Designing site maps, user journey maps, and interaction flows tailored to the target audience in Egypt Cairo.</w:t>
            </w:r>
          </w:p>
        </w:tc>
        <w:tc>
          <w:tcPr/>
          <w:p>
            <w:pPr>
              <w:pStyle w:val="Compact"/>
              <w:jc w:val="left"/>
            </w:pPr>
            <w:r>
              <w:t xml:space="preserve">35</w:t>
            </w:r>
          </w:p>
        </w:tc>
        <w:tc>
          <w:tcPr/>
          <w:p>
            <w:pPr>
              <w:pStyle w:val="Compact"/>
              <w:jc w:val="left"/>
            </w:pPr>
            <w:r>
              <w:t xml:space="preserve">1,200</w:t>
            </w:r>
          </w:p>
        </w:tc>
        <w:tc>
          <w:tcPr/>
          <w:p>
            <w:pPr>
              <w:pStyle w:val="Compact"/>
              <w:jc w:val="left"/>
            </w:pPr>
            <w:r>
              <w:t xml:space="preserve">42,000</w:t>
            </w:r>
          </w:p>
        </w:tc>
        <w:tc>
          <w:tcPr/>
          <w:p>
            <w:pPr>
              <w:pStyle w:val="Compact"/>
              <w:jc w:val="left"/>
            </w:pPr>
            <w:r>
              <w:t xml:space="preserve">Week 2–3</w:t>
            </w:r>
          </w:p>
        </w:tc>
      </w:tr>
      <w:tr>
        <w:tc>
          <w:tcPr/>
          <w:p>
            <w:pPr>
              <w:pStyle w:val="Compact"/>
              <w:jc w:val="left"/>
            </w:pPr>
            <w:r>
              <w:t xml:space="preserve">3</w:t>
            </w:r>
          </w:p>
        </w:tc>
        <w:tc>
          <w:tcPr/>
          <w:p>
            <w:pPr>
              <w:pStyle w:val="Compact"/>
              <w:jc w:val="left"/>
            </w:pPr>
            <w:r>
              <w:t xml:space="preserve">Wireframing &amp; Low-Fidelity Prototyping — Creating structural wireframes for all key screens and interactive low-fidelity prototypes for internal review.</w:t>
            </w:r>
          </w:p>
        </w:tc>
        <w:tc>
          <w:tcPr/>
          <w:p>
            <w:pPr>
              <w:pStyle w:val="Compact"/>
              <w:jc w:val="left"/>
            </w:pPr>
            <w:r>
              <w:t xml:space="preserve">50</w:t>
            </w:r>
          </w:p>
        </w:tc>
        <w:tc>
          <w:tcPr/>
          <w:p>
            <w:pPr>
              <w:pStyle w:val="Compact"/>
              <w:jc w:val="left"/>
            </w:pPr>
            <w:r>
              <w:t xml:space="preserve">1,100</w:t>
            </w:r>
          </w:p>
        </w:tc>
        <w:tc>
          <w:tcPr/>
          <w:p>
            <w:pPr>
              <w:pStyle w:val="Compact"/>
              <w:jc w:val="left"/>
            </w:pPr>
            <w:r>
              <w:t xml:space="preserve">55,000</w:t>
            </w:r>
          </w:p>
        </w:tc>
        <w:tc>
          <w:tcPr/>
          <w:p>
            <w:pPr>
              <w:pStyle w:val="Compact"/>
              <w:jc w:val="left"/>
            </w:pPr>
            <w:r>
              <w:t xml:space="preserve">Week 3–5</w:t>
            </w:r>
          </w:p>
        </w:tc>
      </w:tr>
      <w:tr>
        <w:tc>
          <w:tcPr/>
          <w:p>
            <w:pPr>
              <w:pStyle w:val="Compact"/>
              <w:jc w:val="left"/>
            </w:pPr>
            <w:r>
              <w:t xml:space="preserve">4</w:t>
            </w:r>
          </w:p>
        </w:tc>
        <w:tc>
          <w:tcPr/>
          <w:p>
            <w:pPr>
              <w:pStyle w:val="Compact"/>
              <w:jc w:val="left"/>
            </w:pPr>
            <w:r>
              <w:t xml:space="preserve">High-Fidelity UI Design — Full visual design system including color palette, typography, iconography, and pixel-perfect UI mockups for desktop, tablet, and mobile breakpoints.</w:t>
            </w:r>
          </w:p>
        </w:tc>
        <w:tc>
          <w:tcPr/>
          <w:p>
            <w:pPr>
              <w:pStyle w:val="Compact"/>
              <w:jc w:val="left"/>
            </w:pPr>
            <w:r>
              <w:t xml:space="preserve">80</w:t>
            </w:r>
          </w:p>
        </w:tc>
        <w:tc>
          <w:tcPr/>
          <w:p>
            <w:pPr>
              <w:pStyle w:val="Compact"/>
              <w:jc w:val="left"/>
            </w:pPr>
            <w:r>
              <w:t xml:space="preserve">1,400</w:t>
            </w:r>
          </w:p>
        </w:tc>
        <w:tc>
          <w:tcPr/>
          <w:p>
            <w:pPr>
              <w:pStyle w:val="Compact"/>
              <w:jc w:val="left"/>
            </w:pPr>
            <w:r>
              <w:t xml:space="preserve">112,000</w:t>
            </w:r>
          </w:p>
        </w:tc>
        <w:tc>
          <w:tcPr/>
          <w:p>
            <w:pPr>
              <w:pStyle w:val="Compact"/>
              <w:jc w:val="left"/>
            </w:pPr>
            <w:r>
              <w:t xml:space="preserve">Week 5–8</w:t>
            </w:r>
          </w:p>
        </w:tc>
      </w:tr>
      <w:tr>
        <w:tc>
          <w:tcPr/>
          <w:p>
            <w:pPr>
              <w:pStyle w:val="Compact"/>
              <w:jc w:val="left"/>
            </w:pPr>
            <w:r>
              <w:t xml:space="preserve">5</w:t>
            </w:r>
          </w:p>
        </w:tc>
        <w:tc>
          <w:tcPr/>
          <w:p>
            <w:pPr>
              <w:pStyle w:val="Compact"/>
              <w:jc w:val="left"/>
            </w:pPr>
            <w:r>
              <w:t xml:space="preserve">Interactive Prototyping &amp; Usability Testing — Building clickable prototypes in Figma and conducting moderated usability sessions with 8–12 participants recruited in Egypt Cairo.</w:t>
            </w:r>
          </w:p>
        </w:tc>
        <w:tc>
          <w:tcPr/>
          <w:p>
            <w:pPr>
              <w:pStyle w:val="Compact"/>
              <w:jc w:val="left"/>
            </w:pPr>
            <w:r>
              <w:t xml:space="preserve">45</w:t>
            </w:r>
          </w:p>
        </w:tc>
        <w:tc>
          <w:tcPr/>
          <w:p>
            <w:pPr>
              <w:pStyle w:val="Compact"/>
              <w:jc w:val="left"/>
            </w:pPr>
            <w:r>
              <w:t xml:space="preserve">1,300</w:t>
            </w:r>
          </w:p>
        </w:tc>
        <w:tc>
          <w:tcPr/>
          <w:p>
            <w:pPr>
              <w:pStyle w:val="Compact"/>
              <w:jc w:val="left"/>
            </w:pPr>
            <w:r>
              <w:t xml:space="preserve">58,500</w:t>
            </w:r>
          </w:p>
        </w:tc>
        <w:tc>
          <w:tcPr/>
          <w:p>
            <w:pPr>
              <w:pStyle w:val="Compact"/>
              <w:jc w:val="left"/>
            </w:pPr>
            <w:r>
              <w:t xml:space="preserve">Week 8–10</w:t>
            </w:r>
          </w:p>
        </w:tc>
      </w:tr>
      <w:tr>
        <w:tc>
          <w:tcPr/>
          <w:p>
            <w:pPr>
              <w:pStyle w:val="Compact"/>
              <w:jc w:val="left"/>
            </w:pPr>
            <w:r>
              <w:t xml:space="preserve">6</w:t>
            </w:r>
          </w:p>
        </w:tc>
        <w:tc>
          <w:tcPr/>
          <w:p>
            <w:pPr>
              <w:pStyle w:val="Compact"/>
              <w:jc w:val="left"/>
            </w:pPr>
            <w:r>
              <w:t xml:space="preserve">Design System Documentation &amp; Developer Handoff — Comprehensive style guide, component library, annotation files, and structured handoff sessions with the development team.</w:t>
            </w:r>
          </w:p>
        </w:tc>
        <w:tc>
          <w:tcPr/>
          <w:p>
            <w:pPr>
              <w:pStyle w:val="Compact"/>
              <w:jc w:val="left"/>
            </w:pPr>
            <w:r>
              <w:t xml:space="preserve">30</w:t>
            </w:r>
          </w:p>
        </w:tc>
        <w:tc>
          <w:tcPr/>
          <w:p>
            <w:pPr>
              <w:pStyle w:val="Compact"/>
              <w:jc w:val="left"/>
            </w:pPr>
            <w:r>
              <w:t xml:space="preserve">1,200</w:t>
            </w:r>
          </w:p>
        </w:tc>
        <w:tc>
          <w:tcPr/>
          <w:p>
            <w:pPr>
              <w:pStyle w:val="Compact"/>
              <w:jc w:val="left"/>
            </w:pPr>
            <w:r>
              <w:t xml:space="preserve">36,000</w:t>
            </w:r>
          </w:p>
        </w:tc>
        <w:tc>
          <w:tcPr/>
          <w:p>
            <w:pPr>
              <w:pStyle w:val="Compact"/>
              <w:jc w:val="left"/>
            </w:pPr>
            <w:r>
              <w:t xml:space="preserve">Week 10–11</w:t>
            </w:r>
          </w:p>
        </w:tc>
      </w:tr>
      <w:tr>
        <w:tc>
          <w:tcPr/>
          <w:p>
            <w:pPr>
              <w:pStyle w:val="Compact"/>
              <w:jc w:val="left"/>
            </w:pPr>
            <w:r>
              <w:t xml:space="preserve">7</w:t>
            </w:r>
          </w:p>
        </w:tc>
        <w:tc>
          <w:tcPr/>
          <w:p>
            <w:pPr>
              <w:pStyle w:val="Compact"/>
              <w:jc w:val="left"/>
            </w:pPr>
            <w:r>
              <w:t xml:space="preserve">Post-Launch Support &amp; Iteration (30 days) — Ongoing UX UI Designer support for bug fixes, minor design adjustments, and A/B test design iterations following deployment.</w:t>
            </w:r>
          </w:p>
        </w:tc>
        <w:tc>
          <w:tcPr/>
          <w:p>
            <w:pPr>
              <w:pStyle w:val="Compact"/>
              <w:jc w:val="left"/>
            </w:pPr>
            <w:r>
              <w:t xml:space="preserve">25</w:t>
            </w:r>
          </w:p>
        </w:tc>
        <w:tc>
          <w:tcPr/>
          <w:p>
            <w:pPr>
              <w:pStyle w:val="Compact"/>
              <w:jc w:val="left"/>
            </w:pPr>
            <w:r>
              <w:t xml:space="preserve">1,100</w:t>
            </w:r>
          </w:p>
        </w:tc>
        <w:tc>
          <w:tcPr/>
          <w:p>
            <w:pPr>
              <w:pStyle w:val="Compact"/>
              <w:jc w:val="left"/>
            </w:pPr>
            <w:r>
              <w:t xml:space="preserve">27,500</w:t>
            </w:r>
          </w:p>
        </w:tc>
        <w:tc>
          <w:tcPr/>
          <w:p>
            <w:pPr>
              <w:pStyle w:val="Compact"/>
              <w:jc w:val="left"/>
            </w:pPr>
            <w:r>
              <w:t xml:space="preserve">Week 12–13</w:t>
            </w:r>
          </w:p>
        </w:tc>
      </w:tr>
      <w:tr>
        <w:tc>
          <w:tcPr>
            <w:gridSpan w:val="4"/>
          </w:tcPr>
          <w:p>
            <w:pPr>
              <w:pStyle w:val="Compact"/>
              <w:jc w:val="left"/>
            </w:pPr>
            <w:r>
              <w:t xml:space="preserve">TOTAL ESTIMATED COST (Inclusive of 14% VAT)</w:t>
            </w:r>
          </w:p>
        </w:tc>
        <w:tc>
          <w:tcPr/>
          <w:p>
            <w:pPr>
              <w:pStyle w:val="Compact"/>
              <w:jc w:val="left"/>
            </w:pPr>
            <w:r>
              <w:t xml:space="preserve">379,000 EGP</w:t>
            </w:r>
          </w:p>
        </w:tc>
        <w:tc>
          <w:tcPr/>
          <w:p>
            <w:pPr>
              <w:pStyle w:val="Compact"/>
              <w:jc w:val="left"/>
            </w:pPr>
            <w:r>
              <w:t xml:space="preserve">13 Weeks</w:t>
            </w:r>
          </w:p>
        </w:tc>
      </w:tr>
    </w:tbl>
    <w:bookmarkEnd w:id="22"/>
    <w:bookmarkStart w:id="23" w:name="pricing-notes-assumptions"/>
    <w:p>
      <w:pPr>
        <w:pStyle w:val="Heading2"/>
      </w:pPr>
      <w:r>
        <w:t xml:space="preserve">3. Pricing Notes &amp; Assumptions</w:t>
      </w:r>
    </w:p>
    <w:p>
      <w:pPr>
        <w:pStyle w:val="FirstParagraph"/>
      </w:pPr>
      <w:r>
        <w:rPr>
          <w:bCs/>
          <w:b/>
        </w:rPr>
        <w:t xml:space="preserve">Important:</w:t>
      </w:r>
      <w:r>
        <w:t xml:space="preserve"> </w:t>
      </w:r>
      <w:r>
        <w:t xml:space="preserve">This Quotation Estimate is based on the project scope as discussed during the initial briefing. Any additional screens, platforms, or features beyond the agreed scope will be subject to a revised Quotation Estimate issued by our UX UI Designer team. All rates reflect the current market positioning of a senior UX UI Designer in Egypt Cairo as of June 2025.</w:t>
      </w:r>
    </w:p>
    <w:p>
      <w:pPr>
        <w:numPr>
          <w:ilvl w:val="0"/>
          <w:numId w:val="1001"/>
        </w:numPr>
        <w:pStyle w:val="Compact"/>
      </w:pPr>
      <w:r>
        <w:t xml:space="preserve">All fees are quoted in Egyptian Pounds (EGP) and include 14% Value Added Tax (VAT) as mandated by the Egyptian Tax Authority.</w:t>
      </w:r>
    </w:p>
    <w:p>
      <w:pPr>
        <w:numPr>
          <w:ilvl w:val="0"/>
          <w:numId w:val="1001"/>
        </w:numPr>
        <w:pStyle w:val="Compact"/>
      </w:pPr>
      <w:r>
        <w:t xml:space="preserve">Travel expenses within Cairo and Giza are included. Travel to other governorates will be billed at actual cost.</w:t>
      </w:r>
    </w:p>
    <w:p>
      <w:pPr>
        <w:numPr>
          <w:ilvl w:val="0"/>
          <w:numId w:val="1001"/>
        </w:numPr>
        <w:pStyle w:val="Compact"/>
      </w:pPr>
      <w:r>
        <w:t xml:space="preserve">Third-party software licensing (Figma, Miro, Maze) is included for the duration of the project.</w:t>
      </w:r>
    </w:p>
    <w:p>
      <w:pPr>
        <w:numPr>
          <w:ilvl w:val="0"/>
          <w:numId w:val="1001"/>
        </w:numPr>
        <w:pStyle w:val="Compact"/>
      </w:pPr>
      <w:r>
        <w:t xml:space="preserve">The UX UI Designer team assigned to this project will consist of 1 Lead UX UI Designer, 1 UI Visual Designer, and 1 UX Researcher, all based in our Egypt Cairo office.</w:t>
      </w:r>
    </w:p>
    <w:bookmarkEnd w:id="23"/>
    <w:bookmarkStart w:id="24" w:name="payment-terms"/>
    <w:p>
      <w:pPr>
        <w:pStyle w:val="Heading2"/>
      </w:pPr>
      <w:r>
        <w:t xml:space="preserve">4. Payment Terms</w:t>
      </w:r>
    </w:p>
    <w:p>
      <w:pPr>
        <w:pStyle w:val="FirstParagraph"/>
      </w:pPr>
      <w:r>
        <w:t xml:space="preserve">Payment shall be structured as follows to align with project milestones:</w:t>
      </w:r>
    </w:p>
    <w:p>
      <w:pPr>
        <w:numPr>
          <w:ilvl w:val="0"/>
          <w:numId w:val="1002"/>
        </w:numPr>
        <w:pStyle w:val="Compact"/>
      </w:pPr>
      <w:r>
        <w:rPr>
          <w:bCs/>
          <w:b/>
        </w:rPr>
        <w:t xml:space="preserve">30% Advance Payment</w:t>
      </w:r>
      <w:r>
        <w:t xml:space="preserve"> </w:t>
      </w:r>
      <w:r>
        <w:t xml:space="preserve">(113,700 EGP) — Due upon acceptance of this Quotation Estimate and signing of the Service Agreement.</w:t>
      </w:r>
    </w:p>
    <w:p>
      <w:pPr>
        <w:numPr>
          <w:ilvl w:val="0"/>
          <w:numId w:val="1002"/>
        </w:numPr>
        <w:pStyle w:val="Compact"/>
      </w:pPr>
      <w:r>
        <w:rPr>
          <w:bCs/>
          <w:b/>
        </w:rPr>
        <w:t xml:space="preserve">40% Milestone Payment</w:t>
      </w:r>
      <w:r>
        <w:t xml:space="preserve"> </w:t>
      </w:r>
      <w:r>
        <w:t xml:space="preserve">(151,600 EGP) — Due upon approval of High-Fidelity UI Design deliverables (End of Week 8).</w:t>
      </w:r>
    </w:p>
    <w:p>
      <w:pPr>
        <w:numPr>
          <w:ilvl w:val="0"/>
          <w:numId w:val="1002"/>
        </w:numPr>
        <w:pStyle w:val="Compact"/>
      </w:pPr>
      <w:r>
        <w:rPr>
          <w:bCs/>
          <w:b/>
        </w:rPr>
        <w:t xml:space="preserve">30% Final Payment</w:t>
      </w:r>
      <w:r>
        <w:t xml:space="preserve"> </w:t>
      </w:r>
      <w:r>
        <w:t xml:space="preserve">(113,700 EGP) — Due upon completion of Developer Handoff and commencement of the 30-day support period.</w:t>
      </w:r>
    </w:p>
    <w:p>
      <w:pPr>
        <w:pStyle w:val="FirstParagraph"/>
      </w:pPr>
      <w:r>
        <w:t xml:space="preserve">Payments are to be made via bank transfer to the Studio Nile Digital account at CIB (Commercial International Bank), Cairo Branch. Invoices will be issued in Arabic and English to comply with Egyptian commercial regulations.</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30 calendar days from the date of issue. After the expiry date, rates may be subject to revision based on market conditions in Egypt Cairo.</w:t>
      </w:r>
    </w:p>
    <w:p>
      <w:pPr>
        <w:numPr>
          <w:ilvl w:val="0"/>
          <w:numId w:val="1003"/>
        </w:numPr>
        <w:pStyle w:val="Compact"/>
      </w:pPr>
      <w:r>
        <w:t xml:space="preserve">All intellectual property rights to the final design deliverables shall transfer to the client upon full and final payment. During the project, the UX UI Designer retains the right to showcase the work in their portfolio with prior written consent from the client.</w:t>
      </w:r>
    </w:p>
    <w:p>
      <w:pPr>
        <w:numPr>
          <w:ilvl w:val="0"/>
          <w:numId w:val="1003"/>
        </w:numPr>
        <w:pStyle w:val="Compact"/>
      </w:pPr>
      <w:r>
        <w:t xml:space="preserve">The client agrees to provide feedback within 5 business days of each deliverable submission. Delays beyond this window will result in a proportional extension of the project timeline at no additional cost to the client, but may affect the post-launch support window.</w:t>
      </w:r>
    </w:p>
    <w:p>
      <w:pPr>
        <w:numPr>
          <w:ilvl w:val="0"/>
          <w:numId w:val="1003"/>
        </w:numPr>
        <w:pStyle w:val="Compact"/>
      </w:pPr>
      <w:r>
        <w:t xml:space="preserve">Studio Nile Digital reserves the right to decline or modify the scope if the project involves content that violates Egyptian law or public order.</w:t>
      </w:r>
    </w:p>
    <w:p>
      <w:pPr>
        <w:numPr>
          <w:ilvl w:val="0"/>
          <w:numId w:val="1003"/>
        </w:numPr>
        <w:pStyle w:val="Compact"/>
      </w:pPr>
      <w:r>
        <w:t xml:space="preserve">This Quotation Estimate does not constitute a binding contract until both parties have executed the formal Service Agreement. It serves solely as a good-faith estimate of costs and timelines.</w:t>
      </w:r>
    </w:p>
    <w:p>
      <w:pPr>
        <w:numPr>
          <w:ilvl w:val="0"/>
          <w:numId w:val="1003"/>
        </w:numPr>
        <w:pStyle w:val="Compact"/>
      </w:pPr>
      <w:r>
        <w:t xml:space="preserve">Any disputes arising from this Quotation Estimate or the subsequent agreement shall be governed by the laws of the Arab Republic of Egypt and shall be subject to the jurisdiction of the competent courts in Cairo.</w:t>
      </w:r>
    </w:p>
    <w:p>
      <w:pPr>
        <w:numPr>
          <w:ilvl w:val="0"/>
          <w:numId w:val="1003"/>
        </w:numPr>
        <w:pStyle w:val="Compact"/>
      </w:pPr>
      <w:r>
        <w:t xml:space="preserve">Confidentiality: Both parties agree to maintain strict confidentiality regarding all proprietary information exchanged during the engagement, in accordance with Egyptian data protection regulations.</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and agrees to the terms, conditions, and pricing outlined herein. The UX UI Designer team at Studio Nile Digital, Egypt Cairo, will commence work upon receipt of the advance payment and the executed Service Agreement.</w:t>
      </w:r>
    </w:p>
    <w:p>
      <w:pPr>
        <w:pStyle w:val="BodyText"/>
      </w:pPr>
      <w:r>
        <w:rPr>
          <w:bCs/>
          <w:b/>
        </w:rPr>
        <w:t xml:space="preserve">For Studio Nile Digital (UX UI Designer)</w:t>
      </w:r>
    </w:p>
    <w:p>
      <w:pPr>
        <w:pStyle w:val="BodyText"/>
      </w:pPr>
      <w:r>
        <w:t xml:space="preserve">Eng. Ahmed El-Sayed — Lead UX UI Designer &amp; Director</w:t>
      </w:r>
    </w:p>
    <w:p>
      <w:pPr>
        <w:pStyle w:val="BodyText"/>
      </w:pPr>
      <w:r>
        <w:t xml:space="preserve">Signature &amp; Company Stamp</w:t>
      </w:r>
    </w:p>
    <w:p>
      <w:pPr>
        <w:pStyle w:val="BodyText"/>
      </w:pPr>
      <w:r>
        <w:rPr>
          <w:bCs/>
          <w:b/>
        </w:rPr>
        <w:t xml:space="preserve">For the Client</w:t>
      </w:r>
    </w:p>
    <w:p>
      <w:pPr>
        <w:pStyle w:val="BodyText"/>
      </w:pPr>
      <w:r>
        <w:t xml:space="preserve">[Authorized Representative Name]</w:t>
      </w:r>
    </w:p>
    <w:p>
      <w:pPr>
        <w:pStyle w:val="BodyText"/>
      </w:pPr>
      <w:r>
        <w:t xml:space="preserve">Signature &amp; Company Stamp</w:t>
      </w:r>
    </w:p>
    <w:p>
      <w:pPr>
        <w:pStyle w:val="BodyText"/>
      </w:pPr>
      <w:r>
        <w:t xml:space="preserve">© 2025 Studio Nile Digital — UX UI Designer Services — Cairo, Egypt — Quotation Estimate QTE-CAIRO-2025-0472</w:t>
      </w:r>
      <w:r>
        <w:br/>
      </w:r>
      <w:r>
        <w:t xml:space="preserve">This document is generated electronically and is valid without a physical stamp. For inquiries, contact: estimates@studioniledigital.eg | +20 2 2578 4400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 Egypt Cairo</dc:title>
  <dc:creator/>
  <dc:language>en</dc:language>
  <cp:keywords/>
  <dcterms:created xsi:type="dcterms:W3CDTF">2026-10-10T08:00:32Z</dcterms:created>
  <dcterms:modified xsi:type="dcterms:W3CDTF">2026-10-10T08:00:32Z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