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operating in Germany Berlin and surrounding metropolitan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QE-2025-BER-0472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Germany Berlin (on-site and remote hybrid)</w:t>
            </w:r>
          </w:p>
        </w:tc>
      </w:tr>
      <w:tr>
        <w:tc>
          <w:tcPr/>
          <w:p>
            <w:pPr>
              <w:pStyle w:val="Compact"/>
              <w:jc w:val="left"/>
            </w:pPr>
            <w:r>
              <w:t xml:space="preserve">Prepared By:</w:t>
            </w:r>
          </w:p>
        </w:tc>
        <w:tc>
          <w:tcPr/>
          <w:p>
            <w:pPr>
              <w:pStyle w:val="Compact"/>
              <w:jc w:val="left"/>
            </w:pPr>
            <w:r>
              <w:t xml:space="preserve">Studio Nord Design GmbH, Friedrichstraße 120, 10117 Berlin, Germany</w:t>
            </w:r>
          </w:p>
        </w:tc>
      </w:tr>
      <w:tr>
        <w:tc>
          <w:tcPr/>
          <w:p>
            <w:pPr>
              <w:pStyle w:val="Compact"/>
              <w:jc w:val="left"/>
            </w:pPr>
            <w:r>
              <w:t xml:space="preserve">Contact:</w:t>
            </w:r>
          </w:p>
        </w:tc>
        <w:tc>
          <w:tcPr/>
          <w:p>
            <w:pPr>
              <w:pStyle w:val="Compact"/>
              <w:jc w:val="left"/>
            </w:pPr>
            <w:r>
              <w:t xml:space="preserve">quotation@studionord-berlin.de | +49 30 555 0182</w:t>
            </w:r>
          </w:p>
        </w:tc>
      </w:tr>
    </w:tbl>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transparent, itemised, and legally compliant cost overview for the engagement of a senior UX UI Designer to support your digital product development initiative in Germany Berlin. As a regulated market, Germany Berlin requires all commercial service agreements to be documented with precise scope definitions, hourly or project-based rate structures, and clear acceptance criteria. This Quotation Estimate fulfils those requirements and serves as the foundational financial reference for both parties before any contractual commitment is formalised.</w:t>
      </w:r>
    </w:p>
    <w:bookmarkEnd w:id="21"/>
    <w:bookmarkStart w:id="22" w:name="scope-of-ux-ui-designer-services"/>
    <w:p>
      <w:pPr>
        <w:pStyle w:val="Heading2"/>
      </w:pPr>
      <w:r>
        <w:t xml:space="preserve">2. Scope of UX UI Designer Services</w:t>
      </w:r>
    </w:p>
    <w:p>
      <w:pPr>
        <w:pStyle w:val="FirstParagraph"/>
      </w:pPr>
      <w:r>
        <w:t xml:space="preserve">The UX UI Designer engaged under this Quotation Estimate will deliver the following services tailored to the technological and design landscape of Germany Berlin:</w:t>
      </w:r>
    </w:p>
    <w:p>
      <w:pPr>
        <w:numPr>
          <w:ilvl w:val="0"/>
          <w:numId w:val="1001"/>
        </w:numPr>
        <w:pStyle w:val="Compact"/>
      </w:pPr>
      <w:r>
        <w:rPr>
          <w:bCs/>
          <w:b/>
        </w:rPr>
        <w:t xml:space="preserve">User Research &amp; Discovery:</w:t>
      </w:r>
      <w:r>
        <w:t xml:space="preserve"> </w:t>
      </w:r>
      <w:r>
        <w:t xml:space="preserve">Conducting stakeholder interviews, usability audits, and competitive analysis aligned with German data-protection standards (GDPR) and the accessibility requirements of the Barrierefreiheitsstärkungsgesetz (BFSG), which took effect in Germany on 28 June 2025.</w:t>
      </w:r>
    </w:p>
    <w:p>
      <w:pPr>
        <w:numPr>
          <w:ilvl w:val="0"/>
          <w:numId w:val="1001"/>
        </w:numPr>
        <w:pStyle w:val="Compact"/>
      </w:pPr>
      <w:r>
        <w:rPr>
          <w:bCs/>
          <w:b/>
        </w:rPr>
        <w:t xml:space="preserve">Information Architecture &amp; Wireframing:</w:t>
      </w:r>
      <w:r>
        <w:t xml:space="preserve"> </w:t>
      </w:r>
      <w:r>
        <w:t xml:space="preserve">Designing low-fidelity and mid-fidelity wireframes for web and mobile interfaces, ensuring compliance with DIN EN ISO 9241 ergonomic guidelines commonly referenced in Germany Berlin corporate environments.</w:t>
      </w:r>
    </w:p>
    <w:p>
      <w:pPr>
        <w:numPr>
          <w:ilvl w:val="0"/>
          <w:numId w:val="1001"/>
        </w:numPr>
        <w:pStyle w:val="Compact"/>
      </w:pPr>
      <w:r>
        <w:rPr>
          <w:bCs/>
          <w:b/>
        </w:rPr>
        <w:t xml:space="preserve">High-Fidelity UI Design:</w:t>
      </w:r>
      <w:r>
        <w:t xml:space="preserve"> </w:t>
      </w:r>
      <w:r>
        <w:t xml:space="preserve">Producing pixel-perfect interface designs in Figma and Adobe XD, incorporating a design system that reflects the clean, functional aesthetic expected by clients in Germany Berlin.</w:t>
      </w:r>
    </w:p>
    <w:p>
      <w:pPr>
        <w:numPr>
          <w:ilvl w:val="0"/>
          <w:numId w:val="1001"/>
        </w:numPr>
        <w:pStyle w:val="Compact"/>
      </w:pPr>
      <w:r>
        <w:rPr>
          <w:bCs/>
          <w:b/>
        </w:rPr>
        <w:t xml:space="preserve">Interactive Prototyping &amp; Usability Testing:</w:t>
      </w:r>
      <w:r>
        <w:t xml:space="preserve"> </w:t>
      </w:r>
      <w:r>
        <w:t xml:space="preserve">Building clickable prototypes and facilitating moderated usability sessions with local participants in the Germany Berlin area to validate design decisions before development handoff.</w:t>
      </w:r>
    </w:p>
    <w:p>
      <w:pPr>
        <w:numPr>
          <w:ilvl w:val="0"/>
          <w:numId w:val="1001"/>
        </w:numPr>
        <w:pStyle w:val="Compact"/>
      </w:pPr>
      <w:r>
        <w:rPr>
          <w:bCs/>
          <w:b/>
        </w:rPr>
        <w:t xml:space="preserve">Design System Documentation:</w:t>
      </w:r>
      <w:r>
        <w:t xml:space="preserve"> </w:t>
      </w:r>
      <w:r>
        <w:t xml:space="preserve">Delivering a comprehensive, version-controlled design system with component libraries, style tokens, and usage guidelines suitable for ongoing maintenance by in-house teams in Germany Berlin.</w:t>
      </w:r>
    </w:p>
    <w:p>
      <w:pPr>
        <w:numPr>
          <w:ilvl w:val="0"/>
          <w:numId w:val="1001"/>
        </w:numPr>
        <w:pStyle w:val="Compact"/>
      </w:pPr>
      <w:r>
        <w:rPr>
          <w:bCs/>
          <w:b/>
        </w:rPr>
        <w:t xml:space="preserve">Developer Handoff &amp; QA Support:</w:t>
      </w:r>
      <w:r>
        <w:t xml:space="preserve"> </w:t>
      </w:r>
      <w:r>
        <w:t xml:space="preserve">Providing annotated design files, CSS-ready specifications, and participating in sprint reviews to ensure faithful implementation.</w:t>
      </w:r>
    </w:p>
    <w:bookmarkEnd w:id="22"/>
    <w:bookmarkStart w:id="23" w:name="rate-structure-cost-breakdown"/>
    <w:p>
      <w:pPr>
        <w:pStyle w:val="Heading2"/>
      </w:pPr>
      <w:r>
        <w:t xml:space="preserve">3. Rate Structure &amp; Cost Breakdown</w:t>
      </w:r>
    </w:p>
    <w:p>
      <w:pPr>
        <w:pStyle w:val="FirstParagraph"/>
      </w:pPr>
      <w:r>
        <w:t xml:space="preserve">The following pricing reflects the prevailing market rates for a senior UX UI Designer operating in Germany Berlin, where average daily rates for experienced design professionals range between €750 and €1,200 depending on specialisation and project complexity. This Quotation Estimate applies the mid-range rate to ensure competitive value while maintaining the quality standard expected in the Germany Berlin creative sector.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Phase</w:t>
            </w:r>
          </w:p>
        </w:tc>
        <w:tc>
          <w:tcPr/>
          <w:p>
            <w:pPr>
              <w:pStyle w:val="Compact"/>
              <w:jc w:val="left"/>
            </w:pPr>
            <w:r>
              <w:t xml:space="preserve">Estimated Hours</w:t>
            </w:r>
          </w:p>
        </w:tc>
        <w:tc>
          <w:tcPr/>
          <w:p>
            <w:pPr>
              <w:pStyle w:val="Compact"/>
              <w:jc w:val="left"/>
            </w:pPr>
            <w:r>
              <w:t xml:space="preserve">Rate (EUR / hr)</w:t>
            </w:r>
          </w:p>
        </w:tc>
        <w:tc>
          <w:tcPr/>
          <w:p>
            <w:pPr>
              <w:pStyle w:val="Compact"/>
              <w:jc w:val="left"/>
            </w:pPr>
            <w:r>
              <w:t xml:space="preserve">Subtotal (EUR)</w:t>
            </w:r>
          </w:p>
        </w:tc>
      </w:tr>
      <w:tr>
        <w:tc>
          <w:tcPr/>
          <w:p>
            <w:pPr>
              <w:pStyle w:val="Compact"/>
              <w:jc w:val="left"/>
            </w:pPr>
            <w:r>
              <w:t xml:space="preserve">User Research &amp; Discovery</w:t>
            </w:r>
          </w:p>
        </w:tc>
        <w:tc>
          <w:tcPr/>
          <w:p>
            <w:pPr>
              <w:pStyle w:val="Compact"/>
              <w:jc w:val="left"/>
            </w:pPr>
            <w:r>
              <w:t xml:space="preserve">40</w:t>
            </w:r>
          </w:p>
        </w:tc>
        <w:tc>
          <w:tcPr/>
          <w:p>
            <w:pPr>
              <w:pStyle w:val="Compact"/>
              <w:jc w:val="left"/>
            </w:pPr>
            <w:r>
              <w:t xml:space="preserve">€95</w:t>
            </w:r>
          </w:p>
        </w:tc>
        <w:tc>
          <w:tcPr/>
          <w:p>
            <w:pPr>
              <w:pStyle w:val="Compact"/>
              <w:jc w:val="left"/>
            </w:pPr>
            <w:r>
              <w:t xml:space="preserve">€3,800.00</w:t>
            </w:r>
          </w:p>
        </w:tc>
      </w:tr>
      <w:tr>
        <w:tc>
          <w:tcPr/>
          <w:p>
            <w:pPr>
              <w:pStyle w:val="Compact"/>
              <w:jc w:val="left"/>
            </w:pPr>
            <w:r>
              <w:t xml:space="preserve">Information Architecture &amp; Wireframing</w:t>
            </w:r>
          </w:p>
        </w:tc>
        <w:tc>
          <w:tcPr/>
          <w:p>
            <w:pPr>
              <w:pStyle w:val="Compact"/>
              <w:jc w:val="left"/>
            </w:pPr>
            <w:r>
              <w:t xml:space="preserve">56</w:t>
            </w:r>
          </w:p>
        </w:tc>
        <w:tc>
          <w:tcPr/>
          <w:p>
            <w:pPr>
              <w:pStyle w:val="Compact"/>
              <w:jc w:val="left"/>
            </w:pPr>
            <w:r>
              <w:t xml:space="preserve">€95</w:t>
            </w:r>
          </w:p>
        </w:tc>
        <w:tc>
          <w:tcPr/>
          <w:p>
            <w:pPr>
              <w:pStyle w:val="Compact"/>
              <w:jc w:val="left"/>
            </w:pPr>
            <w:r>
              <w:t xml:space="preserve">€5,320.00</w:t>
            </w:r>
          </w:p>
        </w:tc>
      </w:tr>
      <w:tr>
        <w:tc>
          <w:tcPr/>
          <w:p>
            <w:pPr>
              <w:pStyle w:val="Compact"/>
              <w:jc w:val="left"/>
            </w:pPr>
            <w:r>
              <w:t xml:space="preserve">High-Fidelity UI Design</w:t>
            </w:r>
          </w:p>
        </w:tc>
        <w:tc>
          <w:tcPr/>
          <w:p>
            <w:pPr>
              <w:pStyle w:val="Compact"/>
              <w:jc w:val="left"/>
            </w:pPr>
            <w:r>
              <w:t xml:space="preserve">80</w:t>
            </w:r>
          </w:p>
        </w:tc>
        <w:tc>
          <w:tcPr/>
          <w:p>
            <w:pPr>
              <w:pStyle w:val="Compact"/>
              <w:jc w:val="left"/>
            </w:pPr>
            <w:r>
              <w:t xml:space="preserve">€95</w:t>
            </w:r>
          </w:p>
        </w:tc>
        <w:tc>
          <w:tcPr/>
          <w:p>
            <w:pPr>
              <w:pStyle w:val="Compact"/>
              <w:jc w:val="left"/>
            </w:pPr>
            <w:r>
              <w:t xml:space="preserve">€7,600.00</w:t>
            </w:r>
          </w:p>
        </w:tc>
      </w:tr>
      <w:tr>
        <w:tc>
          <w:tcPr/>
          <w:p>
            <w:pPr>
              <w:pStyle w:val="Compact"/>
              <w:jc w:val="left"/>
            </w:pPr>
            <w:r>
              <w:t xml:space="preserve">Prototyping &amp; Usability Testing</w:t>
            </w:r>
          </w:p>
        </w:tc>
        <w:tc>
          <w:tcPr/>
          <w:p>
            <w:pPr>
              <w:pStyle w:val="Compact"/>
              <w:jc w:val="left"/>
            </w:pPr>
            <w:r>
              <w:t xml:space="preserve">32</w:t>
            </w:r>
          </w:p>
        </w:tc>
        <w:tc>
          <w:tcPr/>
          <w:p>
            <w:pPr>
              <w:pStyle w:val="Compact"/>
              <w:jc w:val="left"/>
            </w:pPr>
            <w:r>
              <w:t xml:space="preserve">€95</w:t>
            </w:r>
          </w:p>
        </w:tc>
        <w:tc>
          <w:tcPr/>
          <w:p>
            <w:pPr>
              <w:pStyle w:val="Compact"/>
              <w:jc w:val="left"/>
            </w:pPr>
            <w:r>
              <w:t xml:space="preserve">€3,040.00</w:t>
            </w:r>
          </w:p>
        </w:tc>
      </w:tr>
      <w:tr>
        <w:tc>
          <w:tcPr/>
          <w:p>
            <w:pPr>
              <w:pStyle w:val="Compact"/>
              <w:jc w:val="left"/>
            </w:pPr>
            <w:r>
              <w:t xml:space="preserve">Design System Documentation</w:t>
            </w:r>
          </w:p>
        </w:tc>
        <w:tc>
          <w:tcPr/>
          <w:p>
            <w:pPr>
              <w:pStyle w:val="Compact"/>
              <w:jc w:val="left"/>
            </w:pPr>
            <w:r>
              <w:t xml:space="preserve">48</w:t>
            </w:r>
          </w:p>
        </w:tc>
        <w:tc>
          <w:tcPr/>
          <w:p>
            <w:pPr>
              <w:pStyle w:val="Compact"/>
              <w:jc w:val="left"/>
            </w:pPr>
            <w:r>
              <w:t xml:space="preserve">€95</w:t>
            </w:r>
          </w:p>
        </w:tc>
        <w:tc>
          <w:tcPr/>
          <w:p>
            <w:pPr>
              <w:pStyle w:val="Compact"/>
              <w:jc w:val="left"/>
            </w:pPr>
            <w:r>
              <w:t xml:space="preserve">€4,560.00</w:t>
            </w:r>
          </w:p>
        </w:tc>
      </w:tr>
      <w:tr>
        <w:tc>
          <w:tcPr/>
          <w:p>
            <w:pPr>
              <w:pStyle w:val="Compact"/>
              <w:jc w:val="left"/>
            </w:pPr>
            <w:r>
              <w:t xml:space="preserve">Developer Handoff &amp; QA Support</w:t>
            </w:r>
          </w:p>
        </w:tc>
        <w:tc>
          <w:tcPr/>
          <w:p>
            <w:pPr>
              <w:pStyle w:val="Compact"/>
              <w:jc w:val="left"/>
            </w:pPr>
            <w:r>
              <w:t xml:space="preserve">24</w:t>
            </w:r>
          </w:p>
        </w:tc>
        <w:tc>
          <w:tcPr/>
          <w:p>
            <w:pPr>
              <w:pStyle w:val="Compact"/>
              <w:jc w:val="left"/>
            </w:pPr>
            <w:r>
              <w:t xml:space="preserve">€95</w:t>
            </w:r>
          </w:p>
        </w:tc>
        <w:tc>
          <w:tcPr/>
          <w:p>
            <w:pPr>
              <w:pStyle w:val="Compact"/>
              <w:jc w:val="left"/>
            </w:pPr>
            <w:r>
              <w:t xml:space="preserve">€2,280.00</w:t>
            </w:r>
          </w:p>
        </w:tc>
      </w:tr>
      <w:tr>
        <w:tc>
          <w:tcPr/>
          <w:p>
            <w:pPr>
              <w:pStyle w:val="Compact"/>
              <w:jc w:val="left"/>
            </w:pPr>
            <w:r>
              <w:t xml:space="preserve">Project Management &amp; Coordination (10%)</w:t>
            </w:r>
          </w:p>
        </w:tc>
        <w:tc>
          <w:tcPr/>
          <w:p>
            <w:pPr>
              <w:pStyle w:val="Compact"/>
              <w:jc w:val="left"/>
            </w:pPr>
            <w:r>
              <w:t xml:space="preserve">—</w:t>
            </w:r>
          </w:p>
        </w:tc>
        <w:tc>
          <w:tcPr/>
          <w:p>
            <w:pPr>
              <w:pStyle w:val="Compact"/>
              <w:jc w:val="left"/>
            </w:pPr>
            <w:r>
              <w:t xml:space="preserve">—</w:t>
            </w:r>
          </w:p>
        </w:tc>
        <w:tc>
          <w:tcPr/>
          <w:p>
            <w:pPr>
              <w:pStyle w:val="Compact"/>
              <w:jc w:val="left"/>
            </w:pPr>
            <w:r>
              <w:t xml:space="preserve">€2,660.00</w:t>
            </w:r>
          </w:p>
        </w:tc>
      </w:tr>
      <w:tr>
        <w:tc>
          <w:tcPr>
            <w:gridSpan w:val="3"/>
          </w:tcPr>
          <w:p>
            <w:pPr>
              <w:pStyle w:val="Compact"/>
              <w:jc w:val="left"/>
            </w:pPr>
            <w:r>
              <w:t xml:space="preserve">Total (excl. 19% German VAT / MwSt.)</w:t>
            </w:r>
          </w:p>
        </w:tc>
        <w:tc>
          <w:tcPr/>
          <w:p>
            <w:pPr>
              <w:pStyle w:val="Compact"/>
              <w:jc w:val="left"/>
            </w:pPr>
            <w:r>
              <w:t xml:space="preserve">€29,260.00</w:t>
            </w:r>
          </w:p>
        </w:tc>
      </w:tr>
      <w:tr>
        <w:tc>
          <w:tcPr>
            <w:gridSpan w:val="3"/>
          </w:tcPr>
          <w:p>
            <w:pPr>
              <w:pStyle w:val="Compact"/>
              <w:jc w:val="left"/>
            </w:pPr>
            <w:r>
              <w:t xml:space="preserve">German VAT (MwSt.) 19%</w:t>
            </w:r>
          </w:p>
        </w:tc>
        <w:tc>
          <w:tcPr/>
          <w:p>
            <w:pPr>
              <w:pStyle w:val="Compact"/>
              <w:jc w:val="left"/>
            </w:pPr>
            <w:r>
              <w:t xml:space="preserve">€5,559.40</w:t>
            </w:r>
          </w:p>
        </w:tc>
      </w:tr>
      <w:tr>
        <w:tc>
          <w:tcPr>
            <w:gridSpan w:val="3"/>
          </w:tcPr>
          <w:p>
            <w:pPr>
              <w:pStyle w:val="Compact"/>
              <w:jc w:val="left"/>
            </w:pPr>
            <w:r>
              <w:t xml:space="preserve">Grand Total (incl. VAT)</w:t>
            </w:r>
          </w:p>
        </w:tc>
        <w:tc>
          <w:tcPr/>
          <w:p>
            <w:pPr>
              <w:pStyle w:val="Compact"/>
              <w:jc w:val="left"/>
            </w:pPr>
            <w:r>
              <w:t xml:space="preserve">€34,819.40</w:t>
            </w:r>
          </w:p>
        </w:tc>
      </w:tr>
    </w:tbl>
    <w:bookmarkEnd w:id="23"/>
    <w:bookmarkStart w:id="24" w:name="payment-terms"/>
    <w:p>
      <w:pPr>
        <w:pStyle w:val="Heading2"/>
      </w:pPr>
      <w:r>
        <w:t xml:space="preserve">4. Payment Terms</w:t>
      </w:r>
    </w:p>
    <w:p>
      <w:pPr>
        <w:pStyle w:val="FirstParagraph"/>
      </w:pPr>
      <w:r>
        <w:t xml:space="preserve">In accordance with standard commercial practice in Germany Berlin, payment shall be structured as follows: 30% advance payment upon acceptance of this Quotation Estimate, 40% upon delivery of the high-fidelity UI design package, and the remaining 30% upon final project acceptance and sign-off. All invoices will be issued in EUR and are payable within 14 calendar days of the invoice date, in line with the German Commercial Code (HGB) § 362. Late payments will incur statutory interest at the rate of 8 percentage points above the European Central Bank base rate for business-to-business transactions.</w:t>
      </w:r>
    </w:p>
    <w:bookmarkEnd w:id="24"/>
    <w:bookmarkStart w:id="25" w:name="validity-assumptions"/>
    <w:p>
      <w:pPr>
        <w:pStyle w:val="Heading2"/>
      </w:pPr>
      <w:r>
        <w:t xml:space="preserve">5. Validity &amp; Assumptions</w:t>
      </w:r>
    </w:p>
    <w:p>
      <w:pPr>
        <w:pStyle w:val="FirstParagraph"/>
      </w:pPr>
      <w:r>
        <w:rPr>
          <w:bCs/>
          <w:b/>
        </w:rPr>
        <w:t xml:space="preserve">Important:</w:t>
      </w:r>
      <w:r>
        <w:t xml:space="preserve"> </w:t>
      </w:r>
      <w:r>
        <w:t xml:space="preserve">This Quotation Estimate is valid for 90 calendar days from the date of issue. Rates are based on the current market conditions for UX UI Designer services in Germany Berlin as of June 2025. Should the project scope change by more than 15% of the originally estimated hours, a revised Quotation Estimate will be issued prior to additional work commencing. All work is subject to the German Copyright Act (Urheberrechtsgesetz), and full intellectual property transfer is included in the final payment milestone.</w:t>
      </w:r>
    </w:p>
    <w:bookmarkEnd w:id="25"/>
    <w:bookmarkStart w:id="26" w:name="terms-conditions-summary"/>
    <w:p>
      <w:pPr>
        <w:pStyle w:val="Heading2"/>
      </w:pPr>
      <w:r>
        <w:t xml:space="preserve">6. Terms &amp; Conditions Summary</w:t>
      </w:r>
    </w:p>
    <w:p>
      <w:pPr>
        <w:numPr>
          <w:ilvl w:val="0"/>
          <w:numId w:val="1002"/>
        </w:numPr>
        <w:pStyle w:val="Compact"/>
      </w:pPr>
      <w:r>
        <w:t xml:space="preserve">This Quotation Estimate does not constitute a binding contract until both parties execute a formal Service Agreement (Dienstleistungsvertrag) referencing this document.</w:t>
      </w:r>
    </w:p>
    <w:p>
      <w:pPr>
        <w:numPr>
          <w:ilvl w:val="0"/>
          <w:numId w:val="1002"/>
        </w:numPr>
        <w:pStyle w:val="Compact"/>
      </w:pPr>
      <w:r>
        <w:t xml:space="preserve">The UX UI Designer shall comply with all applicable German and EU regulations, including GDPR, the BFSG accessibility mandate, and the German Works Constitution Act (BetrVG) where employee data is involved.</w:t>
      </w:r>
    </w:p>
    <w:p>
      <w:pPr>
        <w:numPr>
          <w:ilvl w:val="0"/>
          <w:numId w:val="1002"/>
        </w:numPr>
        <w:pStyle w:val="Compact"/>
      </w:pPr>
      <w:r>
        <w:t xml:space="preserve">Confidentiality obligations under the German Trade Secret Act (GeschGehG) apply to all project materials, user data, and proprietary information exchanged during the engagement in Germany Berlin.</w:t>
      </w:r>
    </w:p>
    <w:p>
      <w:pPr>
        <w:numPr>
          <w:ilvl w:val="0"/>
          <w:numId w:val="1002"/>
        </w:numPr>
        <w:pStyle w:val="Compact"/>
      </w:pPr>
      <w:r>
        <w:t xml:space="preserve">Disputes arising from this Quotation Estimate or the resulting contract shall be governed by German law, with exclusive jurisdiction of the competent courts in Berlin, Germany.</w:t>
      </w:r>
    </w:p>
    <w:p>
      <w:pPr>
        <w:numPr>
          <w:ilvl w:val="0"/>
          <w:numId w:val="1002"/>
        </w:numPr>
        <w:pStyle w:val="Compact"/>
      </w:pPr>
      <w:r>
        <w:t xml:space="preserve">Force majeure events, including but not limited to natural disasters, pandemics, or government-mandated closures in Germany Berlin, shall suspend performance obligations without penalty for either party.</w:t>
      </w:r>
    </w:p>
    <w:p>
      <w:pPr>
        <w:numPr>
          <w:ilvl w:val="0"/>
          <w:numId w:val="1002"/>
        </w:numPr>
        <w:pStyle w:val="Compact"/>
      </w:pPr>
      <w:r>
        <w:t xml:space="preserve">All deliverables will be provided in English and German to accommodate the bilingual working environment typical of Germany Berlin tech companies.</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UX UI Designer services in Germany Berlin and agrees to the rates, scope, and terms outlined herein. This acceptance triggers the 30% advance payment obligation and the commencement of the project timeline.</w:t>
      </w:r>
    </w:p>
    <w:p>
      <w:pPr>
        <w:pStyle w:val="BodyText"/>
      </w:pPr>
      <w:r>
        <w:rPr>
          <w:bCs/>
          <w:b/>
        </w:rPr>
        <w:t xml:space="preserve">For Studio Nord Design GmbH</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t xml:space="preserve">Quotation Estimate QE-2025-BER-0472 | UX UI Designer Services | Germany Berlin | Studio Nord Design GmbH | USt-IdNr.: DE315XXXXXX | HRB 184XXX, Amtsgericht Charlottenburg</w:t>
      </w:r>
    </w:p>
    <w:p>
      <w:pPr>
        <w:pStyle w:val="BodyText"/>
      </w:pPr>
      <w:r>
        <w:t xml:space="preserve">This document was generated in accordance with German commercial documentation standards. For questions regarding this Quotation Estimate, please contact our office in Germany Berlin at the address listed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Germany Berlin</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