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pixelcraft-digital-solutions-gmbh"/>
    <w:p>
      <w:pPr>
        <w:pStyle w:val="Heading1"/>
      </w:pPr>
      <w:r>
        <w:t xml:space="preserve">PixelCraft Digital Solutions GmbH</w:t>
      </w:r>
    </w:p>
    <w:p>
      <w:pPr>
        <w:pStyle w:val="FirstParagraph"/>
      </w:pPr>
      <w:r>
        <w:t xml:space="preserve">Mainzer Landstraße 142, 60329 Frankfurt am Main, Germany</w:t>
      </w:r>
    </w:p>
    <w:p>
      <w:pPr>
        <w:pStyle w:val="BodyText"/>
      </w:pPr>
      <w:r>
        <w:t xml:space="preserve">Phone: +49 69 4455 6677 | Email: estimates@pixelcraft-digital.de</w:t>
      </w:r>
    </w:p>
    <w:p>
      <w:pPr>
        <w:pStyle w:val="BodyText"/>
      </w:pPr>
      <w:r>
        <w:t xml:space="preserve">USt-IdNr.: DE 312 456 789 | HRB 123456 Frankfurt am Main</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Client Name / Company (to be confirmed)</w:t>
            </w:r>
          </w:p>
        </w:tc>
      </w:tr>
      <w:tr>
        <w:tc>
          <w:tcPr/>
          <w:p>
            <w:pPr>
              <w:pStyle w:val="Compact"/>
              <w:jc w:val="left"/>
            </w:pPr>
            <w:r>
              <w:t xml:space="preserve">Project Location</w:t>
            </w:r>
          </w:p>
        </w:tc>
        <w:tc>
          <w:tcPr/>
          <w:p>
            <w:pPr>
              <w:pStyle w:val="Compact"/>
              <w:jc w:val="left"/>
            </w:pPr>
            <w:r>
              <w:t xml:space="preserve">Germany Frankfurt – On-site &amp; Remote Hybrid</w:t>
            </w:r>
          </w:p>
        </w:tc>
      </w:tr>
      <w:tr>
        <w:tc>
          <w:tcPr/>
          <w:p>
            <w:pPr>
              <w:pStyle w:val="Compact"/>
              <w:jc w:val="left"/>
            </w:pPr>
            <w:r>
              <w:t xml:space="preserve">Service Category</w:t>
            </w:r>
          </w:p>
        </w:tc>
        <w:tc>
          <w:tcPr/>
          <w:p>
            <w:pPr>
              <w:pStyle w:val="Compact"/>
              <w:jc w:val="left"/>
            </w:pPr>
            <w:r>
              <w:t xml:space="preserve">UX UI Designer – Full-Stack Digital Experience Design</w:t>
            </w:r>
          </w:p>
        </w:tc>
      </w:tr>
      <w:tr>
        <w:tc>
          <w:tcPr/>
          <w:p>
            <w:pPr>
              <w:pStyle w:val="Compact"/>
              <w:jc w:val="left"/>
            </w:pPr>
            <w:r>
              <w:t xml:space="preserve">Currency</w:t>
            </w:r>
          </w:p>
        </w:tc>
        <w:tc>
          <w:tcPr/>
          <w:p>
            <w:pPr>
              <w:pStyle w:val="Compact"/>
              <w:jc w:val="left"/>
            </w:pPr>
            <w:r>
              <w:t xml:space="preserve">Euro (EUR)</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PixelCraft Digital Solutions GmbH to formally outline the scope, deliverables, timeline, and associated costs for the engagement of a senior</w:t>
      </w:r>
      <w:r>
        <w:t xml:space="preserve"> </w:t>
      </w:r>
      <w:r>
        <w:t xml:space="preserve">UX UI Designer</w:t>
      </w:r>
      <w:r>
        <w:t xml:space="preserve"> </w:t>
      </w:r>
      <w:r>
        <w:t xml:space="preserve">to support your organisation's digital product development initiative. All services described herein will be delivered in accordance with the professional standards expected in the</w:t>
      </w:r>
      <w:r>
        <w:t xml:space="preserve"> </w:t>
      </w:r>
      <w:r>
        <w:t xml:space="preserve">Germany Frankfurt</w:t>
      </w:r>
      <w:r>
        <w:t xml:space="preserve"> </w:t>
      </w:r>
      <w:r>
        <w:t xml:space="preserve">technology and design market, and in full compliance with German commercial law (HGB) and applicable data protection regulations (GDPR / DSGVO).</w:t>
      </w:r>
    </w:p>
    <w:p>
      <w:pPr>
        <w:pStyle w:val="BodyText"/>
      </w:pPr>
      <w:r>
        <w:t xml:space="preserve">This</w:t>
      </w:r>
      <w:r>
        <w:t xml:space="preserve"> </w:t>
      </w:r>
      <w:r>
        <w:t xml:space="preserve">Quotation Estimate</w:t>
      </w:r>
      <w:r>
        <w:t xml:space="preserve"> </w:t>
      </w:r>
      <w:r>
        <w:t xml:space="preserve">is a non-binding offer. It does not constitute a contract until both parties have signed and returned the acceptance section at the end of this document. Any modifications to the scope of work must be agreed upon in writing prior to execution.</w:t>
      </w:r>
    </w:p>
    <w:bookmarkEnd w:id="21"/>
    <w:bookmarkStart w:id="22" w:name="scope-of-work-ux-ui-designer-services"/>
    <w:p>
      <w:pPr>
        <w:pStyle w:val="Heading2"/>
      </w:pPr>
      <w:r>
        <w:t xml:space="preserve">2. Scope of Work – UX UI Designer Services</w:t>
      </w:r>
    </w:p>
    <w:p>
      <w:pPr>
        <w:pStyle w:val="FirstParagraph"/>
      </w:pPr>
      <w:r>
        <w:t xml:space="preserve">The</w:t>
      </w:r>
      <w:r>
        <w:t xml:space="preserve"> </w:t>
      </w:r>
      <w:r>
        <w:t xml:space="preserve">UX UI Designer</w:t>
      </w:r>
      <w:r>
        <w:t xml:space="preserve"> </w:t>
      </w:r>
      <w:r>
        <w:t xml:space="preserve">assigned to this project will operate as a dedicated design lead embedded within your product team. The engagement is structured across four distinct phases, each with clearly defined deliverables. The</w:t>
      </w:r>
      <w:r>
        <w:t xml:space="preserve"> </w:t>
      </w:r>
      <w:r>
        <w:t xml:space="preserve">UX UI Designer</w:t>
      </w:r>
      <w:r>
        <w:t xml:space="preserve"> </w:t>
      </w:r>
      <w:r>
        <w:t xml:space="preserve">will be based in our</w:t>
      </w:r>
      <w:r>
        <w:t xml:space="preserve"> </w:t>
      </w:r>
      <w:r>
        <w:t xml:space="preserve">Germany Frankfurt</w:t>
      </w:r>
      <w:r>
        <w:t xml:space="preserve"> </w:t>
      </w:r>
      <w:r>
        <w:t xml:space="preserve">studio (Mainzer Landstraße 142) with a minimum of three on-site days per week at your premises in the Frankfurt metropolitan area, supplemented by remote collaboration on the remaining days.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Deliverables</w:t>
            </w:r>
          </w:p>
        </w:tc>
        <w:tc>
          <w:tcPr/>
          <w:p>
            <w:pPr>
              <w:pStyle w:val="Compact"/>
              <w:jc w:val="left"/>
            </w:pPr>
            <w:r>
              <w:t xml:space="preserve">Duration</w:t>
            </w:r>
          </w:p>
        </w:tc>
        <w:tc>
          <w:tcPr/>
          <w:p>
            <w:pPr>
              <w:pStyle w:val="Compact"/>
              <w:jc w:val="left"/>
            </w:pPr>
            <w:r>
              <w:t xml:space="preserve">Estimated Cost (EUR)</w:t>
            </w:r>
          </w:p>
        </w:tc>
      </w:tr>
      <w:tr>
        <w:tc>
          <w:tcPr/>
          <w:p>
            <w:pPr>
              <w:pStyle w:val="Compact"/>
              <w:jc w:val="left"/>
            </w:pPr>
            <w:r>
              <w:rPr>
                <w:bCs/>
                <w:b/>
              </w:rPr>
              <w:t xml:space="preserve">Phase 1 – Discovery &amp; Research</w:t>
            </w:r>
          </w:p>
        </w:tc>
        <w:tc>
          <w:tcPr/>
          <w:p>
            <w:pPr>
              <w:pStyle w:val="Compact"/>
              <w:jc w:val="left"/>
            </w:pPr>
            <w:r>
              <w:t xml:space="preserve">Stakeholder interviews, user persona development, competitive audit, heuristic evaluation of existing interfaces, research synthesis report</w:t>
            </w:r>
          </w:p>
        </w:tc>
        <w:tc>
          <w:tcPr/>
          <w:p>
            <w:pPr>
              <w:pStyle w:val="Compact"/>
              <w:jc w:val="left"/>
            </w:pPr>
            <w:r>
              <w:t xml:space="preserve">3 weeks</w:t>
            </w:r>
          </w:p>
        </w:tc>
        <w:tc>
          <w:tcPr/>
          <w:p>
            <w:pPr>
              <w:pStyle w:val="Compact"/>
              <w:jc w:val="left"/>
            </w:pPr>
            <w:r>
              <w:t xml:space="preserve">€ 8,400.00</w:t>
            </w:r>
          </w:p>
        </w:tc>
      </w:tr>
      <w:tr>
        <w:tc>
          <w:tcPr/>
          <w:p>
            <w:pPr>
              <w:pStyle w:val="Compact"/>
              <w:jc w:val="left"/>
            </w:pPr>
            <w:r>
              <w:rPr>
                <w:bCs/>
                <w:b/>
              </w:rPr>
              <w:t xml:space="preserve">Phase 2 – UX Architecture &amp; Wireframing</w:t>
            </w:r>
          </w:p>
        </w:tc>
        <w:tc>
          <w:tcPr/>
          <w:p>
            <w:pPr>
              <w:pStyle w:val="Compact"/>
              <w:jc w:val="left"/>
            </w:pPr>
            <w:r>
              <w:t xml:space="preserve">Information architecture, user flow diagrams, low-fidelity wireframes (desktop &amp; mobile), interactive prototype for usability testing, 2 rounds of user testing with 8 participants</w:t>
            </w:r>
          </w:p>
        </w:tc>
        <w:tc>
          <w:tcPr/>
          <w:p>
            <w:pPr>
              <w:pStyle w:val="Compact"/>
              <w:jc w:val="left"/>
            </w:pPr>
            <w:r>
              <w:t xml:space="preserve">5 weeks</w:t>
            </w:r>
          </w:p>
        </w:tc>
        <w:tc>
          <w:tcPr/>
          <w:p>
            <w:pPr>
              <w:pStyle w:val="Compact"/>
              <w:jc w:val="left"/>
            </w:pPr>
            <w:r>
              <w:t xml:space="preserve">€ 14,200.00</w:t>
            </w:r>
          </w:p>
        </w:tc>
      </w:tr>
      <w:tr>
        <w:tc>
          <w:tcPr/>
          <w:p>
            <w:pPr>
              <w:pStyle w:val="Compact"/>
              <w:jc w:val="left"/>
            </w:pPr>
            <w:r>
              <w:rPr>
                <w:bCs/>
                <w:b/>
              </w:rPr>
              <w:t xml:space="preserve">Phase 3 – UI Design &amp; Design System</w:t>
            </w:r>
          </w:p>
        </w:tc>
        <w:tc>
          <w:tcPr/>
          <w:p>
            <w:pPr>
              <w:pStyle w:val="Compact"/>
              <w:jc w:val="left"/>
            </w:pPr>
            <w:r>
              <w:t xml:space="preserve">High-fidelity UI mockups, component library, design tokens, responsive design specifications, accessibility audit (WCAG 2.1 AA), developer handoff documentation in Figma</w:t>
            </w:r>
          </w:p>
        </w:tc>
        <w:tc>
          <w:tcPr/>
          <w:p>
            <w:pPr>
              <w:pStyle w:val="Compact"/>
              <w:jc w:val="left"/>
            </w:pPr>
            <w:r>
              <w:t xml:space="preserve">6 weeks</w:t>
            </w:r>
          </w:p>
        </w:tc>
        <w:tc>
          <w:tcPr/>
          <w:p>
            <w:pPr>
              <w:pStyle w:val="Compact"/>
              <w:jc w:val="left"/>
            </w:pPr>
            <w:r>
              <w:t xml:space="preserve">€ 16,800.00</w:t>
            </w:r>
          </w:p>
        </w:tc>
      </w:tr>
      <w:tr>
        <w:tc>
          <w:tcPr/>
          <w:p>
            <w:pPr>
              <w:pStyle w:val="Compact"/>
              <w:jc w:val="left"/>
            </w:pPr>
            <w:r>
              <w:rPr>
                <w:bCs/>
                <w:b/>
              </w:rPr>
              <w:t xml:space="preserve">Phase 4 – Implementation Support &amp; QA</w:t>
            </w:r>
          </w:p>
        </w:tc>
        <w:tc>
          <w:tcPr/>
          <w:p>
            <w:pPr>
              <w:pStyle w:val="Compact"/>
              <w:jc w:val="left"/>
            </w:pPr>
            <w:r>
              <w:t xml:space="preserve">Design QA during development sprints, visual regression testing, iterative refinement based on developer feedback, final design sign-off, 30-day post-launch support window</w:t>
            </w:r>
          </w:p>
        </w:tc>
        <w:tc>
          <w:tcPr/>
          <w:p>
            <w:pPr>
              <w:pStyle w:val="Compact"/>
              <w:jc w:val="left"/>
            </w:pPr>
            <w:r>
              <w:t xml:space="preserve">4 weeks</w:t>
            </w:r>
          </w:p>
        </w:tc>
        <w:tc>
          <w:tcPr/>
          <w:p>
            <w:pPr>
              <w:pStyle w:val="Compact"/>
              <w:jc w:val="left"/>
            </w:pPr>
            <w:r>
              <w:t xml:space="preserve">€ 11,600.00</w:t>
            </w:r>
          </w:p>
        </w:tc>
      </w:tr>
      <w:tr>
        <w:tc>
          <w:tcPr>
            <w:gridSpan w:val="3"/>
          </w:tcPr>
          <w:p>
            <w:pPr>
              <w:pStyle w:val="Compact"/>
              <w:jc w:val="left"/>
            </w:pPr>
            <w:r>
              <w:rPr>
                <w:bCs/>
                <w:b/>
              </w:rPr>
              <w:t xml:space="preserve">Subtotal (Net)</w:t>
            </w:r>
          </w:p>
        </w:tc>
        <w:tc>
          <w:tcPr/>
          <w:p>
            <w:pPr>
              <w:pStyle w:val="Compact"/>
              <w:jc w:val="left"/>
            </w:pPr>
            <w:r>
              <w:rPr>
                <w:bCs/>
                <w:b/>
              </w:rPr>
              <w:t xml:space="preserve">€ 51,000.00</w:t>
            </w:r>
          </w:p>
        </w:tc>
      </w:tr>
      <w:tr>
        <w:tc>
          <w:tcPr>
            <w:gridSpan w:val="3"/>
          </w:tcPr>
          <w:p>
            <w:pPr>
              <w:pStyle w:val="Compact"/>
              <w:jc w:val="left"/>
            </w:pPr>
            <w:r>
              <w:rPr>
                <w:bCs/>
                <w:b/>
              </w:rPr>
              <w:t xml:space="preserve">VAT (19% – Germany Frankfurt / Hesse)</w:t>
            </w:r>
          </w:p>
        </w:tc>
        <w:tc>
          <w:tcPr/>
          <w:p>
            <w:pPr>
              <w:pStyle w:val="Compact"/>
              <w:jc w:val="left"/>
            </w:pPr>
            <w:r>
              <w:rPr>
                <w:bCs/>
                <w:b/>
              </w:rPr>
              <w:t xml:space="preserve">€ 9,690.00</w:t>
            </w:r>
          </w:p>
        </w:tc>
      </w:tr>
      <w:tr>
        <w:tc>
          <w:tcPr>
            <w:gridSpan w:val="3"/>
          </w:tcPr>
          <w:p>
            <w:pPr>
              <w:pStyle w:val="Compact"/>
              <w:jc w:val="left"/>
            </w:pPr>
            <w:r>
              <w:rPr>
                <w:bCs/>
                <w:b/>
              </w:rPr>
              <w:t xml:space="preserve">Total (Gross)</w:t>
            </w:r>
          </w:p>
        </w:tc>
        <w:tc>
          <w:tcPr/>
          <w:p>
            <w:pPr>
              <w:pStyle w:val="Compact"/>
              <w:jc w:val="left"/>
            </w:pPr>
            <w:r>
              <w:rPr>
                <w:bCs/>
                <w:b/>
              </w:rPr>
              <w:t xml:space="preserve">€ 60,690.00</w:t>
            </w:r>
          </w:p>
        </w:tc>
      </w:tr>
    </w:tbl>
    <w:bookmarkEnd w:id="22"/>
    <w:bookmarkStart w:id="23" w:name="project-timeline-and-milestones"/>
    <w:p>
      <w:pPr>
        <w:pStyle w:val="Heading2"/>
      </w:pPr>
      <w:r>
        <w:t xml:space="preserve">3. Project Timeline and Milestones</w:t>
      </w:r>
    </w:p>
    <w:p>
      <w:pPr>
        <w:pStyle w:val="FirstParagraph"/>
      </w:pPr>
      <w:r>
        <w:t xml:space="preserve">The total estimated duration for this</w:t>
      </w:r>
      <w:r>
        <w:t xml:space="preserve"> </w:t>
      </w:r>
      <w:r>
        <w:t xml:space="preserve">UX UI Designer</w:t>
      </w:r>
      <w:r>
        <w:t xml:space="preserve"> </w:t>
      </w:r>
      <w:r>
        <w:t xml:space="preserve">engagement is</w:t>
      </w:r>
      <w:r>
        <w:t xml:space="preserve"> </w:t>
      </w:r>
      <w:r>
        <w:rPr>
          <w:bCs/>
          <w:b/>
        </w:rPr>
        <w:t xml:space="preserve">18 weeks</w:t>
      </w:r>
      <w:r>
        <w:t xml:space="preserve"> </w:t>
      </w:r>
      <w:r>
        <w:t xml:space="preserve">from the confirmed start date. The project is scheduled to commence in</w:t>
      </w:r>
      <w:r>
        <w:t xml:space="preserve"> </w:t>
      </w:r>
      <w:r>
        <w:t xml:space="preserve">Germany Frankfurt</w:t>
      </w:r>
      <w:r>
        <w:t xml:space="preserve"> </w:t>
      </w:r>
      <w:r>
        <w:t xml:space="preserve">no earlier than 1 September 2025, subject to mutual agreement. Key milestone reviews will be conducted bi-weekly with your product management team. The</w:t>
      </w:r>
      <w:r>
        <w:t xml:space="preserve"> </w:t>
      </w:r>
      <w:r>
        <w:t xml:space="preserve">UX UI Designer</w:t>
      </w:r>
      <w:r>
        <w:t xml:space="preserve"> </w:t>
      </w:r>
      <w:r>
        <w:t xml:space="preserve">will present progress at each milestone and incorporate feedback within the agreed sprint cycle.</w:t>
      </w:r>
    </w:p>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w:t>
      </w:r>
    </w:p>
    <w:p>
      <w:pPr>
        <w:numPr>
          <w:ilvl w:val="0"/>
          <w:numId w:val="1001"/>
        </w:numPr>
        <w:pStyle w:val="Compact"/>
      </w:pPr>
      <w:r>
        <w:rPr>
          <w:bCs/>
          <w:b/>
        </w:rPr>
        <w:t xml:space="preserve">20% advance payment</w:t>
      </w:r>
      <w:r>
        <w:t xml:space="preserve"> </w:t>
      </w:r>
      <w:r>
        <w:t xml:space="preserve">(€ 12,138.00 incl. VAT) due upon contract signature.</w:t>
      </w:r>
    </w:p>
    <w:p>
      <w:pPr>
        <w:numPr>
          <w:ilvl w:val="0"/>
          <w:numId w:val="1001"/>
        </w:numPr>
        <w:pStyle w:val="Compact"/>
      </w:pPr>
      <w:r>
        <w:rPr>
          <w:bCs/>
          <w:b/>
        </w:rPr>
        <w:t xml:space="preserve">30% milestone payment</w:t>
      </w:r>
      <w:r>
        <w:t xml:space="preserve"> </w:t>
      </w:r>
      <w:r>
        <w:t xml:space="preserve">(€ 18,207.00 incl. VAT) due upon completion of Phase 2 (UX Architecture &amp; Wireframing).</w:t>
      </w:r>
    </w:p>
    <w:p>
      <w:pPr>
        <w:numPr>
          <w:ilvl w:val="0"/>
          <w:numId w:val="1001"/>
        </w:numPr>
        <w:pStyle w:val="Compact"/>
      </w:pPr>
      <w:r>
        <w:rPr>
          <w:bCs/>
          <w:b/>
        </w:rPr>
        <w:t xml:space="preserve">30% milestone payment</w:t>
      </w:r>
      <w:r>
        <w:t xml:space="preserve"> </w:t>
      </w:r>
      <w:r>
        <w:t xml:space="preserve">(€ 18,207.00 incl. VAT) due upon completion of Phase 3 (UI Design &amp; Design System).</w:t>
      </w:r>
    </w:p>
    <w:p>
      <w:pPr>
        <w:numPr>
          <w:ilvl w:val="0"/>
          <w:numId w:val="1001"/>
        </w:numPr>
        <w:pStyle w:val="Compact"/>
      </w:pPr>
      <w:r>
        <w:rPr>
          <w:bCs/>
          <w:b/>
        </w:rPr>
        <w:t xml:space="preserve">20% final payment</w:t>
      </w:r>
      <w:r>
        <w:t xml:space="preserve"> </w:t>
      </w:r>
      <w:r>
        <w:t xml:space="preserve">(€ 12,138.00 incl. VAT) due upon final design sign-off and delivery of all source files.</w:t>
      </w:r>
    </w:p>
    <w:p>
      <w:pPr>
        <w:pStyle w:val="FirstParagraph"/>
      </w:pPr>
      <w:r>
        <w:t xml:space="preserve">All invoices are payable within 14 calendar days of the invoice date via SEPA bank transfer to our account at Commerzbank Frankfurt (IBAN: DE89 3704 0044 0532 0130 00). Late payments will incur statutory interest at 8% above the ECB base rate in accordance with § 288 HGB.</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After expiry, pricing may be revised to reflect current market rates for</w:t>
      </w:r>
      <w:r>
        <w:t xml:space="preserve"> </w:t>
      </w:r>
      <w:r>
        <w:t xml:space="preserve">UX UI Designer</w:t>
      </w:r>
      <w:r>
        <w:t xml:space="preserve"> </w:t>
      </w:r>
      <w:r>
        <w:t xml:space="preserve">services in</w:t>
      </w:r>
      <w:r>
        <w:t xml:space="preserve"> </w:t>
      </w:r>
      <w:r>
        <w:t xml:space="preserve">Germany Frankfurt</w:t>
      </w:r>
      <w:r>
        <w:t xml:space="preserve">.</w:t>
      </w:r>
    </w:p>
    <w:p>
      <w:pPr>
        <w:numPr>
          <w:ilvl w:val="0"/>
          <w:numId w:val="1002"/>
        </w:numPr>
        <w:pStyle w:val="Compact"/>
      </w:pPr>
      <w:r>
        <w:t xml:space="preserve">All intellectual property rights in the final deliverables (design files, prototypes, documentation) shall transfer to the client upon full and final payment. PixelCraft Digital Solutions GmbH retains the right to display completed work in its portfolio unless otherwise agreed in writing.</w:t>
      </w:r>
    </w:p>
    <w:p>
      <w:pPr>
        <w:numPr>
          <w:ilvl w:val="0"/>
          <w:numId w:val="1002"/>
        </w:numPr>
        <w:pStyle w:val="Compact"/>
      </w:pPr>
      <w:r>
        <w:t xml:space="preserve">The</w:t>
      </w:r>
      <w:r>
        <w:t xml:space="preserve"> </w:t>
      </w:r>
      <w:r>
        <w:t xml:space="preserve">UX UI Designer</w:t>
      </w:r>
      <w:r>
        <w:t xml:space="preserve"> </w:t>
      </w:r>
      <w:r>
        <w:t xml:space="preserve">is bound by a non-disclosure agreement (NDA) covering all proprietary information, user data, and business strategies encountered during the engagement in</w:t>
      </w:r>
      <w:r>
        <w:t xml:space="preserve"> </w:t>
      </w:r>
      <w:r>
        <w:t xml:space="preserve">Germany Frankfurt</w:t>
      </w:r>
      <w:r>
        <w:t xml:space="preserve">.</w:t>
      </w:r>
    </w:p>
    <w:p>
      <w:pPr>
        <w:numPr>
          <w:ilvl w:val="0"/>
          <w:numId w:val="1002"/>
        </w:numPr>
        <w:pStyle w:val="Compact"/>
      </w:pPr>
      <w:r>
        <w:t xml:space="preserve">Any change requests that alter the original scope by more than 10% in effort will be subject to a revised</w:t>
      </w:r>
      <w:r>
        <w:t xml:space="preserve"> </w:t>
      </w:r>
      <w:r>
        <w:t xml:space="preserve">Quotation Estimate</w:t>
      </w:r>
      <w:r>
        <w:t xml:space="preserve"> </w:t>
      </w:r>
      <w:r>
        <w:t xml:space="preserve">and written approval before additional work commences.</w:t>
      </w:r>
    </w:p>
    <w:p>
      <w:pPr>
        <w:numPr>
          <w:ilvl w:val="0"/>
          <w:numId w:val="1002"/>
        </w:numPr>
        <w:pStyle w:val="Compact"/>
      </w:pPr>
      <w:r>
        <w:t xml:space="preserve">This engagement is governed by the laws of the Federal Republic of Germany. The exclusive place of jurisdiction is Frankfurt am Main, Hesse.</w:t>
      </w:r>
    </w:p>
    <w:p>
      <w:pPr>
        <w:numPr>
          <w:ilvl w:val="0"/>
          <w:numId w:val="1002"/>
        </w:numPr>
        <w:pStyle w:val="Compact"/>
      </w:pPr>
      <w:r>
        <w:t xml:space="preserve">The</w:t>
      </w:r>
      <w:r>
        <w:t xml:space="preserve"> </w:t>
      </w:r>
      <w:r>
        <w:t xml:space="preserve">UX UI Designer</w:t>
      </w:r>
      <w:r>
        <w:t xml:space="preserve"> </w:t>
      </w:r>
      <w:r>
        <w:t xml:space="preserve">will comply with all applicable German and EU data protection regulations (DSGVO / GDPR) when handling user research data and personal information collected during the project.</w:t>
      </w:r>
    </w:p>
    <w:p>
      <w:pPr>
        <w:numPr>
          <w:ilvl w:val="0"/>
          <w:numId w:val="1002"/>
        </w:numPr>
        <w:pStyle w:val="Compact"/>
      </w:pPr>
      <w:r>
        <w:t xml:space="preserve">Force majeure events, including but not limited to natural disasters, pandemics, or government-mandated closures affecting the</w:t>
      </w:r>
      <w:r>
        <w:t xml:space="preserve"> </w:t>
      </w:r>
      <w:r>
        <w:t xml:space="preserve">Germany Frankfurt</w:t>
      </w:r>
      <w:r>
        <w:t xml:space="preserve"> </w:t>
      </w:r>
      <w:r>
        <w:t xml:space="preserve">region, may result in timeline adjustments without penalty to either party.</w:t>
      </w:r>
    </w:p>
    <w:bookmarkEnd w:id="25"/>
    <w:bookmarkStart w:id="26" w:name="acceptance-and-signature"/>
    <w:p>
      <w:pPr>
        <w:pStyle w:val="Heading2"/>
      </w:pPr>
      <w:r>
        <w:t xml:space="preserve">6. Acceptance and Signature</w:t>
      </w:r>
    </w:p>
    <w:p>
      <w:pPr>
        <w:pStyle w:val="FirstParagraph"/>
      </w:pPr>
      <w:r>
        <w:t xml:space="preserve">By signing below, both parties acknowledge and agree to the terms, scope, and pricing outlined in this</w:t>
      </w:r>
      <w:r>
        <w:t xml:space="preserve"> </w:t>
      </w:r>
      <w:r>
        <w:t xml:space="preserve">Quotation Estimate</w:t>
      </w:r>
      <w:r>
        <w:t xml:space="preserve"> </w:t>
      </w:r>
      <w:r>
        <w:t xml:space="preserve">for the</w:t>
      </w:r>
      <w:r>
        <w:t xml:space="preserve"> </w:t>
      </w:r>
      <w:r>
        <w:t xml:space="preserve">UX UI Designer</w:t>
      </w:r>
      <w:r>
        <w:t xml:space="preserve"> </w:t>
      </w:r>
      <w:r>
        <w:t xml:space="preserve">services to be delivered in</w:t>
      </w:r>
      <w:r>
        <w:t xml:space="preserve"> </w:t>
      </w:r>
      <w:r>
        <w:t xml:space="preserve">Germany Frankfurt</w:t>
      </w:r>
      <w:r>
        <w:t xml:space="preserve">. This document becomes a binding service agreement upon dual signature.</w:t>
      </w:r>
    </w:p>
    <w:p>
      <w:pPr>
        <w:pStyle w:val="BodyText"/>
      </w:pPr>
      <w:r>
        <w:rPr>
          <w:bCs/>
          <w:b/>
        </w:rPr>
        <w:t xml:space="preserve">For PixelCraft Digital Solutions GmbH</w:t>
      </w:r>
    </w:p>
    <w:p>
      <w:pPr>
        <w:pStyle w:val="BodyText"/>
      </w:pPr>
      <w:r>
        <w:t xml:space="preserve">Name: Dr. Katharina Weber</w:t>
      </w:r>
      <w:r>
        <w:br/>
      </w:r>
      <w:r>
        <w:t xml:space="preserve">Title: Managing Director</w:t>
      </w:r>
      <w:r>
        <w:br/>
      </w:r>
      <w:r>
        <w:t xml:space="preserve">Signature &amp; Date: _________________________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t xml:space="preserve">Quotation Estimate No. QTE-2025-04871 | PixelCraft Digital Solutions GmbH | Mainzer Landstraße 142, 60329 Frankfurt am Main, Germany</w:t>
      </w:r>
      <w:r>
        <w:br/>
      </w:r>
      <w:r>
        <w:t xml:space="preserve">This document was generated on 14 June 2025. For questions regarding this Quotation Estimate or the UX UI Designer engagement, please contact estimates@pixelcraft-digital.de or call +49 69 4455 6677.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Germany Frankfurt</dc:title>
  <dc:creator/>
  <dc:language>en</dc:language>
  <cp:keywords/>
  <dcterms:created xsi:type="dcterms:W3CDTF">2026-10-10T09:53:03Z</dcterms:created>
  <dcterms:modified xsi:type="dcterms:W3CDTF">2026-10-10T09:53:03Z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