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nova-digital-studio"/>
    <w:p>
      <w:pPr>
        <w:pStyle w:val="Heading1"/>
      </w:pPr>
      <w:r>
        <w:t xml:space="preserve">NOVA DIGITAL STUDIO</w:t>
      </w:r>
    </w:p>
    <w:p>
      <w:pPr>
        <w:pStyle w:val="FirstParagraph"/>
      </w:pPr>
      <w:r>
        <w:t xml:space="preserve">Av. Paseo de la Reforma 222, Piso 14, Col. Cuauhtémoc, 06600 Mexico Mexico City, CDMX</w:t>
      </w:r>
    </w:p>
    <w:p>
      <w:pPr>
        <w:pStyle w:val="BodyText"/>
      </w:pPr>
      <w:r>
        <w:t xml:space="preserve">Tel: +52 (55) 5555-0198 | Email: quotes@novadigital.mx</w:t>
      </w:r>
    </w:p>
    <w:p>
      <w:pPr>
        <w:pStyle w:val="BodyText"/>
      </w:pPr>
      <w:r>
        <w:t xml:space="preserve">RFC: NDS180520AB1 | SAT Registered</w:t>
      </w:r>
    </w:p>
    <w:bookmarkEnd w:id="20"/>
    <w:p>
      <w:pPr>
        <w:pStyle w:val="BodyText"/>
      </w:pPr>
      <w:r>
        <w:t xml:space="preserve">Quotation Estimate</w:t>
      </w:r>
      <w:r>
        <w:t xml:space="preserve"> </w:t>
      </w:r>
      <w:r>
        <w:t xml:space="preserve">Valid 30 Days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Laura Hernández, Senior UX UI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Grupo Financiero Azteca Digital S.A. de C.V.</w:t>
      </w:r>
    </w:p>
    <w:p>
      <w:pPr>
        <w:pStyle w:val="BodyText"/>
      </w:pPr>
      <w:r>
        <w:rPr>
          <w:bCs/>
          <w:b/>
        </w:rPr>
        <w:t xml:space="preserve">Contact:</w:t>
      </w:r>
      <w:r>
        <w:t xml:space="preserve"> </w:t>
      </w:r>
      <w:r>
        <w:t xml:space="preserve">Ing. Ricardo Morales</w:t>
      </w:r>
    </w:p>
    <w:p>
      <w:pPr>
        <w:pStyle w:val="BodyText"/>
      </w:pPr>
      <w:r>
        <w:rPr>
          <w:bCs/>
          <w:b/>
        </w:rPr>
        <w:t xml:space="preserve">Address:</w:t>
      </w:r>
      <w:r>
        <w:t xml:space="preserve"> </w:t>
      </w:r>
      <w:r>
        <w:t xml:space="preserve">Torre Anzures, Av. Presidente Masaryk 111, 11560 Mexico Mexico City</w:t>
      </w:r>
    </w:p>
    <w:p>
      <w:pPr>
        <w:pStyle w:val="BodyText"/>
      </w:pPr>
      <w:r>
        <w:rPr>
          <w:bCs/>
          <w:b/>
        </w:rPr>
        <w:t xml:space="preserve">Email:</w:t>
      </w:r>
      <w:r>
        <w:t xml:space="preserve"> </w:t>
      </w:r>
      <w:r>
        <w:t xml:space="preserve">r.morales@aztecadigital.com</w:t>
      </w:r>
    </w:p>
    <w:bookmarkEnd w:id="22"/>
    <w:bookmarkStart w:id="23" w:name="project-overview"/>
    <w:p>
      <w:pPr>
        <w:pStyle w:val="Heading2"/>
      </w:pPr>
      <w:r>
        <w:t xml:space="preserve">1. Project Overview</w:t>
      </w:r>
    </w:p>
    <w:p>
      <w:pPr>
        <w:pStyle w:val="FirstParagraph"/>
      </w:pPr>
      <w:r>
        <w:t xml:space="preserve">This Quotation Estimate is formally presented to Grupo Financiero Azteca Digital S.A. de C.V. for the engagement of a specialized UX UI Designer to deliver comprehensive user experience and user interface design services. The project will be executed in Mexico Mexico City, leveraging the local expertise, cultural understanding, and regulatory knowledge that our team brings to the Mexican digital market.</w:t>
      </w:r>
    </w:p>
    <w:p>
      <w:pPr>
        <w:pStyle w:val="BodyText"/>
      </w:pPr>
      <w:r>
        <w:t xml:space="preserve">The UX UI Designer assigned to this engagement will be responsible for the end-to-end design of a new digital banking platform, including user research, wireframing, prototyping, visual design, design system creation, and usability testing. All deliverables will be tailored to the specific needs of the Mexican consumer market, ensuring compliance with local accessibility standards and cultural design preferences prevalent in Mexico Mexico City and its surrounding metropolitan areas.</w:t>
      </w:r>
    </w:p>
    <w:bookmarkEnd w:id="23"/>
    <w:bookmarkStart w:id="24" w:name="scope-of-work-ux-ui-designer-services"/>
    <w:p>
      <w:pPr>
        <w:pStyle w:val="Heading2"/>
      </w:pPr>
      <w:r>
        <w:t xml:space="preserve">2. Scope of Work – UX UI Designer Services</w:t>
      </w:r>
    </w:p>
    <w:p>
      <w:pPr>
        <w:pStyle w:val="FirstParagraph"/>
      </w:pPr>
      <w:r>
        <w:t xml:space="preserve">The following line items constitute the complete scope of work for the UX UI Designer engagement as detailed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(MXN)</w:t>
            </w:r>
          </w:p>
        </w:tc>
        <w:tc>
          <w:tcPr/>
          <w:p>
            <w:pPr>
              <w:pStyle w:val="Compact"/>
              <w:jc w:val="left"/>
            </w:pPr>
            <w:r>
              <w:t xml:space="preserve">Subtotal (MXN)</w:t>
            </w:r>
          </w:p>
        </w:tc>
      </w:tr>
      <w:tr>
        <w:tc>
          <w:tcPr/>
          <w:p>
            <w:pPr>
              <w:pStyle w:val="Compact"/>
              <w:jc w:val="left"/>
            </w:pPr>
            <w:r>
              <w:t xml:space="preserve">1.1</w:t>
            </w:r>
          </w:p>
        </w:tc>
        <w:tc>
          <w:tcPr/>
          <w:p>
            <w:pPr>
              <w:pStyle w:val="Compact"/>
              <w:jc w:val="left"/>
            </w:pPr>
            <w:r>
              <w:t xml:space="preserve">User Research &amp; Discovery – Conducting stakeholder interviews, user persona development, and competitive analysis specific to the Mexico Mexico City fintech landscape.</w:t>
            </w:r>
          </w:p>
        </w:tc>
        <w:tc>
          <w:tcPr/>
          <w:p>
            <w:pPr>
              <w:pStyle w:val="Compact"/>
              <w:jc w:val="left"/>
            </w:pPr>
            <w:r>
              <w:t xml:space="preserve">2 weeks</w:t>
            </w:r>
          </w:p>
        </w:tc>
        <w:tc>
          <w:tcPr/>
          <w:p>
            <w:pPr>
              <w:pStyle w:val="Compact"/>
              <w:jc w:val="left"/>
            </w:pPr>
            <w:r>
              <w:t xml:space="preserve">$18,500 / wk</w:t>
            </w:r>
          </w:p>
        </w:tc>
        <w:tc>
          <w:tcPr/>
          <w:p>
            <w:pPr>
              <w:pStyle w:val="Compact"/>
              <w:jc w:val="left"/>
            </w:pPr>
            <w:r>
              <w:t xml:space="preserve">$37,000</w:t>
            </w:r>
          </w:p>
        </w:tc>
      </w:tr>
      <w:tr>
        <w:tc>
          <w:tcPr/>
          <w:p>
            <w:pPr>
              <w:pStyle w:val="Compact"/>
              <w:jc w:val="left"/>
            </w:pPr>
            <w:r>
              <w:t xml:space="preserve">1.2</w:t>
            </w:r>
          </w:p>
        </w:tc>
        <w:tc>
          <w:tcPr/>
          <w:p>
            <w:pPr>
              <w:pStyle w:val="Compact"/>
              <w:jc w:val="left"/>
            </w:pPr>
            <w:r>
              <w:t xml:space="preserve">Information Architecture &amp; Wireframing – Creating low-fidelity wireframes, user flow diagrams, and site maps for the digital banking platform.</w:t>
            </w:r>
          </w:p>
        </w:tc>
        <w:tc>
          <w:tcPr/>
          <w:p>
            <w:pPr>
              <w:pStyle w:val="Compact"/>
              <w:jc w:val="left"/>
            </w:pPr>
            <w:r>
              <w:t xml:space="preserve">3 weeks</w:t>
            </w:r>
          </w:p>
        </w:tc>
        <w:tc>
          <w:tcPr/>
          <w:p>
            <w:pPr>
              <w:pStyle w:val="Compact"/>
              <w:jc w:val="left"/>
            </w:pPr>
            <w:r>
              <w:t xml:space="preserve">$18,500 / wk</w:t>
            </w:r>
          </w:p>
        </w:tc>
        <w:tc>
          <w:tcPr/>
          <w:p>
            <w:pPr>
              <w:pStyle w:val="Compact"/>
              <w:jc w:val="left"/>
            </w:pPr>
            <w:r>
              <w:t xml:space="preserve">$55,500</w:t>
            </w:r>
          </w:p>
        </w:tc>
      </w:tr>
      <w:tr>
        <w:tc>
          <w:tcPr/>
          <w:p>
            <w:pPr>
              <w:pStyle w:val="Compact"/>
              <w:jc w:val="left"/>
            </w:pPr>
            <w:r>
              <w:t xml:space="preserve">1.3</w:t>
            </w:r>
          </w:p>
        </w:tc>
        <w:tc>
          <w:tcPr/>
          <w:p>
            <w:pPr>
              <w:pStyle w:val="Compact"/>
              <w:jc w:val="left"/>
            </w:pPr>
            <w:r>
              <w:t xml:space="preserve">High-Fidelity UI Design – Designing pixel-perfect interface mockups, interactive prototypes, and responsive layouts for desktop, tablet, and mobile.</w:t>
            </w:r>
          </w:p>
        </w:tc>
        <w:tc>
          <w:tcPr/>
          <w:p>
            <w:pPr>
              <w:pStyle w:val="Compact"/>
              <w:jc w:val="left"/>
            </w:pPr>
            <w:r>
              <w:t xml:space="preserve">4 weeks</w:t>
            </w:r>
          </w:p>
        </w:tc>
        <w:tc>
          <w:tcPr/>
          <w:p>
            <w:pPr>
              <w:pStyle w:val="Compact"/>
              <w:jc w:val="left"/>
            </w:pPr>
            <w:r>
              <w:t xml:space="preserve">$19,000 / wk</w:t>
            </w:r>
          </w:p>
        </w:tc>
        <w:tc>
          <w:tcPr/>
          <w:p>
            <w:pPr>
              <w:pStyle w:val="Compact"/>
              <w:jc w:val="left"/>
            </w:pPr>
            <w:r>
              <w:t xml:space="preserve">$76,000</w:t>
            </w:r>
          </w:p>
        </w:tc>
      </w:tr>
      <w:tr>
        <w:tc>
          <w:tcPr/>
          <w:p>
            <w:pPr>
              <w:pStyle w:val="Compact"/>
              <w:jc w:val="left"/>
            </w:pPr>
            <w:r>
              <w:t xml:space="preserve">1.4</w:t>
            </w:r>
          </w:p>
        </w:tc>
        <w:tc>
          <w:tcPr/>
          <w:p>
            <w:pPr>
              <w:pStyle w:val="Compact"/>
              <w:jc w:val="left"/>
            </w:pPr>
            <w:r>
              <w:t xml:space="preserve">Design System &amp; Component Library – Building a scalable design system with reusable components, style guides, and documentation for the development team.</w:t>
            </w:r>
          </w:p>
        </w:tc>
        <w:tc>
          <w:tcPr/>
          <w:p>
            <w:pPr>
              <w:pStyle w:val="Compact"/>
              <w:jc w:val="left"/>
            </w:pPr>
            <w:r>
              <w:t xml:space="preserve">3 weeks</w:t>
            </w:r>
          </w:p>
        </w:tc>
        <w:tc>
          <w:tcPr/>
          <w:p>
            <w:pPr>
              <w:pStyle w:val="Compact"/>
              <w:jc w:val="left"/>
            </w:pPr>
            <w:r>
              <w:t xml:space="preserve">$19,000 / wk</w:t>
            </w:r>
          </w:p>
        </w:tc>
        <w:tc>
          <w:tcPr/>
          <w:p>
            <w:pPr>
              <w:pStyle w:val="Compact"/>
              <w:jc w:val="left"/>
            </w:pPr>
            <w:r>
              <w:t xml:space="preserve">$57,000</w:t>
            </w:r>
          </w:p>
        </w:tc>
      </w:tr>
      <w:tr>
        <w:tc>
          <w:tcPr/>
          <w:p>
            <w:pPr>
              <w:pStyle w:val="Compact"/>
              <w:jc w:val="left"/>
            </w:pPr>
            <w:r>
              <w:t xml:space="preserve">1.5</w:t>
            </w:r>
          </w:p>
        </w:tc>
        <w:tc>
          <w:tcPr/>
          <w:p>
            <w:pPr>
              <w:pStyle w:val="Compact"/>
              <w:jc w:val="left"/>
            </w:pPr>
            <w:r>
              <w:t xml:space="preserve">Usability Testing &amp; Iteration – Conducting moderated usability sessions with 15 participants in Mexico Mexico City, analyzing results, and refining designs.</w:t>
            </w:r>
          </w:p>
        </w:tc>
        <w:tc>
          <w:tcPr/>
          <w:p>
            <w:pPr>
              <w:pStyle w:val="Compact"/>
              <w:jc w:val="left"/>
            </w:pPr>
            <w:r>
              <w:t xml:space="preserve">2 weeks</w:t>
            </w:r>
          </w:p>
        </w:tc>
        <w:tc>
          <w:tcPr/>
          <w:p>
            <w:pPr>
              <w:pStyle w:val="Compact"/>
              <w:jc w:val="left"/>
            </w:pPr>
            <w:r>
              <w:t xml:space="preserve">$17,500 / wk</w:t>
            </w:r>
          </w:p>
        </w:tc>
        <w:tc>
          <w:tcPr/>
          <w:p>
            <w:pPr>
              <w:pStyle w:val="Compact"/>
              <w:jc w:val="left"/>
            </w:pPr>
            <w:r>
              <w:t xml:space="preserve">$35,000</w:t>
            </w:r>
          </w:p>
        </w:tc>
      </w:tr>
      <w:tr>
        <w:tc>
          <w:tcPr/>
          <w:p>
            <w:pPr>
              <w:pStyle w:val="Compact"/>
              <w:jc w:val="left"/>
            </w:pPr>
            <w:r>
              <w:t xml:space="preserve">1.6</w:t>
            </w:r>
          </w:p>
        </w:tc>
        <w:tc>
          <w:tcPr/>
          <w:p>
            <w:pPr>
              <w:pStyle w:val="Compact"/>
              <w:jc w:val="left"/>
            </w:pPr>
            <w:r>
              <w:t xml:space="preserve">Developer Handoff &amp; Support – Providing annotated design files, asset exports, and two weeks of post-delivery support to the development team.</w:t>
            </w:r>
          </w:p>
        </w:tc>
        <w:tc>
          <w:tcPr/>
          <w:p>
            <w:pPr>
              <w:pStyle w:val="Compact"/>
              <w:jc w:val="left"/>
            </w:pPr>
            <w:r>
              <w:t xml:space="preserve">2 weeks</w:t>
            </w:r>
          </w:p>
        </w:tc>
        <w:tc>
          <w:tcPr/>
          <w:p>
            <w:pPr>
              <w:pStyle w:val="Compact"/>
              <w:jc w:val="left"/>
            </w:pPr>
            <w:r>
              <w:t xml:space="preserve">$16,000 / wk</w:t>
            </w:r>
          </w:p>
        </w:tc>
        <w:tc>
          <w:tcPr/>
          <w:p>
            <w:pPr>
              <w:pStyle w:val="Compact"/>
              <w:jc w:val="left"/>
            </w:pPr>
            <w:r>
              <w:t xml:space="preserve">$32,000</w:t>
            </w:r>
          </w:p>
        </w:tc>
      </w:tr>
      <w:tr>
        <w:tc>
          <w:tcPr>
            <w:gridSpan w:val="4"/>
          </w:tcPr>
          <w:p>
            <w:pPr>
              <w:pStyle w:val="Compact"/>
              <w:jc w:val="left"/>
            </w:pPr>
            <w:r>
              <w:t xml:space="preserve">TOTAL PROJECT COST (before IVA)</w:t>
            </w:r>
          </w:p>
        </w:tc>
        <w:tc>
          <w:tcPr/>
          <w:p>
            <w:pPr>
              <w:pStyle w:val="Compact"/>
              <w:jc w:val="left"/>
            </w:pPr>
            <w:r>
              <w:t xml:space="preserve">$292,500</w:t>
            </w:r>
          </w:p>
        </w:tc>
      </w:tr>
      <w:tr>
        <w:tc>
          <w:tcPr>
            <w:gridSpan w:val="4"/>
          </w:tcPr>
          <w:p>
            <w:pPr>
              <w:pStyle w:val="Compact"/>
              <w:jc w:val="left"/>
            </w:pPr>
            <w:r>
              <w:t xml:space="preserve">IVA (16% – Mexican Value Added Tax)</w:t>
            </w:r>
          </w:p>
        </w:tc>
        <w:tc>
          <w:tcPr/>
          <w:p>
            <w:pPr>
              <w:pStyle w:val="Compact"/>
              <w:jc w:val="left"/>
            </w:pPr>
            <w:r>
              <w:t xml:space="preserve">$46,800</w:t>
            </w:r>
          </w:p>
        </w:tc>
      </w:tr>
      <w:tr>
        <w:tc>
          <w:tcPr>
            <w:gridSpan w:val="4"/>
          </w:tcPr>
          <w:p>
            <w:pPr>
              <w:pStyle w:val="Compact"/>
              <w:jc w:val="left"/>
            </w:pPr>
            <w:r>
              <w:t xml:space="preserve">GRAND TOTAL (MXN)</w:t>
            </w:r>
          </w:p>
        </w:tc>
        <w:tc>
          <w:tcPr/>
          <w:p>
            <w:pPr>
              <w:pStyle w:val="Compact"/>
              <w:jc w:val="left"/>
            </w:pPr>
            <w:r>
              <w:t xml:space="preserve">$339,300</w:t>
            </w:r>
          </w:p>
        </w:tc>
      </w:tr>
    </w:tbl>
    <w:bookmarkEnd w:id="24"/>
    <w:bookmarkStart w:id="25" w:name="project-timeline"/>
    <w:p>
      <w:pPr>
        <w:pStyle w:val="Heading2"/>
      </w:pPr>
      <w:r>
        <w:t xml:space="preserve">3. Project Timeline</w:t>
      </w:r>
    </w:p>
    <w:p>
      <w:pPr>
        <w:pStyle w:val="FirstParagraph"/>
      </w:pPr>
      <w:r>
        <w:t xml:space="preserve">The total estimated duration for the UX UI Designer engagement is sixteen (16) weeks, commencing upon written acceptance of this Quotation Estimate and receipt of the initial 40% advance payment. The project will be managed from our Mexico Mexico City office, with weekly progress meetings scheduled on Tuesdays at 10:00 AM (GMT-6). All milestones will be tracked using the client's preferred project management tool, and bi-weekly design reviews will be conducted in person at the client's offices in Mexico Mexico City.</w:t>
      </w:r>
    </w:p>
    <w:bookmarkEnd w:id="25"/>
    <w:bookmarkStart w:id="26" w:name="payment-terms"/>
    <w:p>
      <w:pPr>
        <w:pStyle w:val="Heading2"/>
      </w:pPr>
      <w:r>
        <w:t xml:space="preserve">4. Payment Terms</w:t>
      </w:r>
    </w:p>
    <w:p>
      <w:pPr>
        <w:numPr>
          <w:ilvl w:val="0"/>
          <w:numId w:val="1001"/>
        </w:numPr>
        <w:pStyle w:val="Compact"/>
      </w:pPr>
      <w:r>
        <w:rPr>
          <w:bCs/>
          <w:b/>
        </w:rPr>
        <w:t xml:space="preserve">40% Advance Payment:</w:t>
      </w:r>
      <w:r>
        <w:t xml:space="preserve"> </w:t>
      </w:r>
      <w:r>
        <w:t xml:space="preserve">Due upon signing of the service agreement (MXN $135,720 including IVA).</w:t>
      </w:r>
    </w:p>
    <w:p>
      <w:pPr>
        <w:numPr>
          <w:ilvl w:val="0"/>
          <w:numId w:val="1001"/>
        </w:numPr>
        <w:pStyle w:val="Compact"/>
      </w:pPr>
      <w:r>
        <w:rPr>
          <w:bCs/>
          <w:b/>
        </w:rPr>
        <w:t xml:space="preserve">35% Mid-Project Payment:</w:t>
      </w:r>
      <w:r>
        <w:t xml:space="preserve"> </w:t>
      </w:r>
      <w:r>
        <w:t xml:space="preserve">Due upon completion of High-Fidelity UI Design deliverables (MXN $118,755 including IVA).</w:t>
      </w:r>
    </w:p>
    <w:p>
      <w:pPr>
        <w:numPr>
          <w:ilvl w:val="0"/>
          <w:numId w:val="1001"/>
        </w:numPr>
        <w:pStyle w:val="Compact"/>
      </w:pPr>
      <w:r>
        <w:rPr>
          <w:bCs/>
          <w:b/>
        </w:rPr>
        <w:t xml:space="preserve">25% Final Payment:</w:t>
      </w:r>
      <w:r>
        <w:t xml:space="preserve"> </w:t>
      </w:r>
      <w:r>
        <w:t xml:space="preserve">Due upon project acceptance and final handoff (MXN $84,825 including IVA).</w:t>
      </w:r>
    </w:p>
    <w:p>
      <w:pPr>
        <w:numPr>
          <w:ilvl w:val="0"/>
          <w:numId w:val="1001"/>
        </w:numPr>
        <w:pStyle w:val="Compact"/>
      </w:pPr>
      <w:r>
        <w:t xml:space="preserve">All payments shall be made via bank transfer to our account at BBVA México, CDMX. Invoices will be issued in compliance with Mexican tax regulations (CFDI 4.0).</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 due to market conditions in Mexico Mexico City.</w:t>
      </w:r>
    </w:p>
    <w:p>
      <w:pPr>
        <w:numPr>
          <w:ilvl w:val="0"/>
          <w:numId w:val="1002"/>
        </w:numPr>
        <w:pStyle w:val="Compact"/>
      </w:pPr>
      <w:r>
        <w:t xml:space="preserve">All intellectual property rights to the final deliverables shall transfer to the client upon full payment. The UX UI Designer retains the right to display the work in their professional portfolio with prior written consent.</w:t>
      </w:r>
    </w:p>
    <w:p>
      <w:pPr>
        <w:numPr>
          <w:ilvl w:val="0"/>
          <w:numId w:val="1002"/>
        </w:numPr>
        <w:pStyle w:val="Compact"/>
      </w:pPr>
      <w:r>
        <w:t xml:space="preserve">Any scope changes exceeding 10% of the originally agreed deliverables will require a formal change order and a revised Quotation Estimate.</w:t>
      </w:r>
    </w:p>
    <w:p>
      <w:pPr>
        <w:numPr>
          <w:ilvl w:val="0"/>
          <w:numId w:val="1002"/>
        </w:numPr>
        <w:pStyle w:val="Compact"/>
      </w:pPr>
      <w:r>
        <w:t xml:space="preserve">The UX UI Designer shall maintain full confidentiality of all client data, financial information, and proprietary materials in accordance with Mexico's Federal Law on Protection of Personal Data Held by Private Parties (LFPDPPP).</w:t>
      </w:r>
    </w:p>
    <w:p>
      <w:pPr>
        <w:numPr>
          <w:ilvl w:val="0"/>
          <w:numId w:val="1002"/>
        </w:numPr>
        <w:pStyle w:val="Compact"/>
      </w:pPr>
      <w:r>
        <w:t xml:space="preserve">This engagement is governed by the commercial laws of the State of Mexico and the Federal District (Mexico Mexico City). Any disputes shall be resolved through arbitration in Mexico Mexico City.</w:t>
      </w:r>
    </w:p>
    <w:p>
      <w:pPr>
        <w:numPr>
          <w:ilvl w:val="0"/>
          <w:numId w:val="1002"/>
        </w:numPr>
        <w:pStyle w:val="Compact"/>
      </w:pPr>
      <w:r>
        <w:t xml:space="preserve">Force majeure events, including but not limited to natural disasters affecting Mexico Mexico City, shall extend the project timeline proportionally without penalty to either party.</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herein for the UX UI Designer services to be performed in Mexico Mexico City. This document, once countersigned by both parties, constitutes a binding service agreement.</w:t>
      </w:r>
    </w:p>
    <w:bookmarkEnd w:id="28"/>
    <w:p>
      <w:pPr>
        <w:pStyle w:val="BodyText"/>
      </w:pPr>
      <w:r>
        <w:rPr>
          <w:bCs/>
          <w:b/>
        </w:rPr>
        <w:t xml:space="preserve">For Nova Digital Studio</w:t>
      </w:r>
      <w:r>
        <w:br/>
      </w:r>
      <w:r>
        <w:t xml:space="preserve">Laura Hernández – Senior UX UI Designer</w:t>
      </w:r>
      <w:r>
        <w:br/>
      </w:r>
      <w:r>
        <w:t xml:space="preserve">Date: _______________</w:t>
      </w:r>
    </w:p>
    <w:p>
      <w:pPr>
        <w:pStyle w:val="BodyText"/>
      </w:pPr>
      <w:r>
        <w:rPr>
          <w:bCs/>
          <w:b/>
        </w:rPr>
        <w:t xml:space="preserve">For Grupo Financiero Azteca Digital S.A. de C.V.</w:t>
      </w:r>
      <w:r>
        <w:br/>
      </w:r>
      <w:r>
        <w:t xml:space="preserve">Ing. Ricardo Morales – Project Director</w:t>
      </w:r>
      <w:r>
        <w:br/>
      </w:r>
      <w:r>
        <w:t xml:space="preserve">Date: _______________</w:t>
      </w:r>
    </w:p>
    <w:p>
      <w:pPr>
        <w:pStyle w:val="BodyText"/>
      </w:pPr>
      <w:r>
        <w:t xml:space="preserve">Quotation Estimate QTE-2025-04782 | Nova Digital Studio | Mexico Mexico City, CDMX</w:t>
      </w:r>
    </w:p>
    <w:p>
      <w:pPr>
        <w:pStyle w:val="BodyText"/>
      </w:pPr>
      <w:r>
        <w:t xml:space="preserve">This document was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Mexico Mexico City</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