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Saudi Arabia Jeddah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QE-JED-2025-0472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issue date)</w:t>
            </w:r>
          </w:p>
        </w:tc>
      </w:tr>
      <w:tr>
        <w:tc>
          <w:tcPr/>
          <w:p>
            <w:pPr>
              <w:pStyle w:val="Compact"/>
              <w:jc w:val="left"/>
            </w:pPr>
            <w:r>
              <w:t xml:space="preserve">Prepared By:</w:t>
            </w:r>
          </w:p>
        </w:tc>
        <w:tc>
          <w:tcPr/>
          <w:p>
            <w:pPr>
              <w:pStyle w:val="Compact"/>
              <w:jc w:val="left"/>
            </w:pPr>
            <w:r>
              <w:t xml:space="preserve">DesignCraft Digital Solutions, Jeddah, Saudi Arabia</w:t>
            </w:r>
          </w:p>
        </w:tc>
      </w:tr>
      <w:tr>
        <w:tc>
          <w:tcPr/>
          <w:p>
            <w:pPr>
              <w:pStyle w:val="Compact"/>
              <w:jc w:val="left"/>
            </w:pPr>
            <w:r>
              <w:t xml:space="preserve">Prepared For:</w:t>
            </w:r>
          </w:p>
        </w:tc>
        <w:tc>
          <w:tcPr/>
          <w:p>
            <w:pPr>
              <w:pStyle w:val="Compact"/>
              <w:jc w:val="left"/>
            </w:pPr>
            <w:r>
              <w:t xml:space="preserve">[Client Name / Company Name], Jeddah, Saudi Arabia</w:t>
            </w:r>
          </w:p>
        </w:tc>
      </w:tr>
      <w:tr>
        <w:tc>
          <w:tcPr/>
          <w:p>
            <w:pPr>
              <w:pStyle w:val="Compact"/>
              <w:jc w:val="left"/>
            </w:pPr>
            <w:r>
              <w:t xml:space="preserve">Project Location:</w:t>
            </w:r>
          </w:p>
        </w:tc>
        <w:tc>
          <w:tcPr/>
          <w:p>
            <w:pPr>
              <w:pStyle w:val="Compact"/>
              <w:jc w:val="left"/>
            </w:pPr>
            <w:r>
              <w:t xml:space="preserve">Jeddah, Saudi Arabia</w:t>
            </w:r>
          </w:p>
        </w:tc>
      </w:tr>
      <w:tr>
        <w:tc>
          <w:tcPr/>
          <w:p>
            <w:pPr>
              <w:pStyle w:val="Compact"/>
              <w:jc w:val="left"/>
            </w:pPr>
            <w:r>
              <w:t xml:space="preserve">Service Category:</w:t>
            </w:r>
          </w:p>
        </w:tc>
        <w:tc>
          <w:tcPr/>
          <w:p>
            <w:pPr>
              <w:pStyle w:val="Compact"/>
              <w:jc w:val="left"/>
            </w:pPr>
            <w:r>
              <w:t xml:space="preserve">UX UI Designer – Digital Product &amp; Web Design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DesignCraft Digital Solutions to provide a comprehensive and transparent breakdown of costs associated with engaging a senior</w:t>
      </w:r>
      <w:r>
        <w:t xml:space="preserve"> </w:t>
      </w:r>
      <w:r>
        <w:t xml:space="preserve">UX UI Designer</w:t>
      </w:r>
      <w:r>
        <w:t xml:space="preserve"> </w:t>
      </w:r>
      <w:r>
        <w:t xml:space="preserve">for the design and development of a digital product interface. This estimate is specifically tailored for clients operating in</w:t>
      </w:r>
      <w:r>
        <w:t xml:space="preserve"> </w:t>
      </w:r>
      <w:r>
        <w:t xml:space="preserve">Saudi Arabia Jeddah</w:t>
      </w:r>
      <w:r>
        <w:t xml:space="preserve">, taking into account local market rates, regulatory considerations, and the unique user expectations of the Saudi Arabian digital landscape. The scope of work outlined herein covers the full lifecycle of user experience and user interface design, from initial research and wireframing through to high-fidelity prototyping and developer handoff.</w:t>
      </w:r>
    </w:p>
    <w:bookmarkEnd w:id="21"/>
    <w:bookmarkStart w:id="22"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engaged under this</w:t>
      </w:r>
      <w:r>
        <w:t xml:space="preserve"> </w:t>
      </w:r>
      <w:r>
        <w:t xml:space="preserve">Quotation Estimate</w:t>
      </w:r>
      <w:r>
        <w:t xml:space="preserve"> </w:t>
      </w:r>
      <w:r>
        <w:t xml:space="preserve">will deliver the following services within the</w:t>
      </w:r>
      <w:r>
        <w:t xml:space="preserve"> </w:t>
      </w:r>
      <w:r>
        <w:t xml:space="preserve">Saudi Arabia Jeddah</w:t>
      </w:r>
      <w:r>
        <w:t xml:space="preserve"> </w:t>
      </w:r>
      <w:r>
        <w:t xml:space="preserve">market:</w:t>
      </w:r>
    </w:p>
    <w:p>
      <w:pPr>
        <w:numPr>
          <w:ilvl w:val="0"/>
          <w:numId w:val="1001"/>
        </w:numPr>
        <w:pStyle w:val="Compact"/>
      </w:pPr>
      <w:r>
        <w:rPr>
          <w:bCs/>
          <w:b/>
        </w:rPr>
        <w:t xml:space="preserve">User Research &amp; Discovery:</w:t>
      </w:r>
      <w:r>
        <w:t xml:space="preserve"> </w:t>
      </w:r>
      <w:r>
        <w:t xml:space="preserve">Conducting stakeholder interviews, user persona development, and competitive analysis specific to the Saudi Arabian digital market in Jeddah.</w:t>
      </w:r>
    </w:p>
    <w:p>
      <w:pPr>
        <w:numPr>
          <w:ilvl w:val="0"/>
          <w:numId w:val="1001"/>
        </w:numPr>
        <w:pStyle w:val="Compact"/>
      </w:pPr>
      <w:r>
        <w:rPr>
          <w:bCs/>
          <w:b/>
        </w:rPr>
        <w:t xml:space="preserve">Information Architecture &amp; Wireframing:</w:t>
      </w:r>
      <w:r>
        <w:t xml:space="preserve"> </w:t>
      </w:r>
      <w:r>
        <w:t xml:space="preserve">Creating low-fidelity wireframes and user flow diagrams that align with the client's business objectives and local user behavior patterns.</w:t>
      </w:r>
    </w:p>
    <w:p>
      <w:pPr>
        <w:numPr>
          <w:ilvl w:val="0"/>
          <w:numId w:val="1001"/>
        </w:numPr>
        <w:pStyle w:val="Compact"/>
      </w:pPr>
      <w:r>
        <w:rPr>
          <w:bCs/>
          <w:b/>
        </w:rPr>
        <w:t xml:space="preserve">High-Fidelity UI Design:</w:t>
      </w:r>
      <w:r>
        <w:t xml:space="preserve"> </w:t>
      </w:r>
      <w:r>
        <w:t xml:space="preserve">Designing pixel-perfect, responsive user interfaces in Figma and Adobe XD, incorporating brand identity, Arabic (RTL) and English (LTR) bilingual layouts, and accessibility standards.</w:t>
      </w:r>
    </w:p>
    <w:p>
      <w:pPr>
        <w:numPr>
          <w:ilvl w:val="0"/>
          <w:numId w:val="1001"/>
        </w:numPr>
        <w:pStyle w:val="Compact"/>
      </w:pPr>
      <w:r>
        <w:rPr>
          <w:bCs/>
          <w:b/>
        </w:rPr>
        <w:t xml:space="preserve">Interactive Prototyping:</w:t>
      </w:r>
      <w:r>
        <w:t xml:space="preserve"> </w:t>
      </w:r>
      <w:r>
        <w:t xml:space="preserve">Building clickable, interactive prototypes to validate design concepts with end-users in Jeddah before development begins.</w:t>
      </w:r>
    </w:p>
    <w:p>
      <w:pPr>
        <w:numPr>
          <w:ilvl w:val="0"/>
          <w:numId w:val="1001"/>
        </w:numPr>
        <w:pStyle w:val="Compact"/>
      </w:pPr>
      <w:r>
        <w:rPr>
          <w:bCs/>
          <w:b/>
        </w:rPr>
        <w:t xml:space="preserve">Usability Testing &amp; Iteration:</w:t>
      </w:r>
      <w:r>
        <w:t xml:space="preserve"> </w:t>
      </w:r>
      <w:r>
        <w:t xml:space="preserve">Facilitating moderated and unmoderated usability testing sessions with local participants in Saudi Arabia Jeddah, followed by design refinements.</w:t>
      </w:r>
    </w:p>
    <w:p>
      <w:pPr>
        <w:numPr>
          <w:ilvl w:val="0"/>
          <w:numId w:val="1001"/>
        </w:numPr>
        <w:pStyle w:val="Compact"/>
      </w:pPr>
      <w:r>
        <w:rPr>
          <w:bCs/>
          <w:b/>
        </w:rPr>
        <w:t xml:space="preserve">Design System &amp; Handoff:</w:t>
      </w:r>
      <w:r>
        <w:t xml:space="preserve"> </w:t>
      </w:r>
      <w:r>
        <w:t xml:space="preserve">Delivering a comprehensive design system, component library, and annotated handoff documentation for the development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User Research &amp; Discovery Phase</w:t>
            </w:r>
          </w:p>
        </w:tc>
        <w:tc>
          <w:tcPr/>
          <w:p>
            <w:pPr>
              <w:pStyle w:val="Compact"/>
              <w:jc w:val="left"/>
            </w:pPr>
            <w:r>
              <w:t xml:space="preserve">2 weeks</w:t>
            </w:r>
          </w:p>
        </w:tc>
        <w:tc>
          <w:tcPr/>
          <w:p>
            <w:pPr>
              <w:pStyle w:val="Compact"/>
              <w:jc w:val="left"/>
            </w:pPr>
            <w:r>
              <w:t xml:space="preserve">12,000 / wk</w:t>
            </w:r>
          </w:p>
        </w:tc>
        <w:tc>
          <w:tcPr/>
          <w:p>
            <w:pPr>
              <w:pStyle w:val="Compact"/>
              <w:jc w:val="left"/>
            </w:pPr>
            <w:r>
              <w:t xml:space="preserve">24,000</w:t>
            </w:r>
          </w:p>
        </w:tc>
        <w:tc>
          <w:tcPr/>
          <w:p>
            <w:pPr>
              <w:pStyle w:val="Compact"/>
              <w:jc w:val="left"/>
            </w:pPr>
            <w:r>
              <w:t xml:space="preserve">6,400</w:t>
            </w:r>
          </w:p>
        </w:tc>
      </w:tr>
      <w:tr>
        <w:tc>
          <w:tcPr/>
          <w:p>
            <w:pPr>
              <w:pStyle w:val="Compact"/>
              <w:jc w:val="left"/>
            </w:pPr>
            <w:r>
              <w:t xml:space="preserve">2</w:t>
            </w:r>
          </w:p>
        </w:tc>
        <w:tc>
          <w:tcPr/>
          <w:p>
            <w:pPr>
              <w:pStyle w:val="Compact"/>
              <w:jc w:val="left"/>
            </w:pPr>
            <w:r>
              <w:t xml:space="preserve">Wireframing &amp; Information Architecture</w:t>
            </w:r>
          </w:p>
        </w:tc>
        <w:tc>
          <w:tcPr/>
          <w:p>
            <w:pPr>
              <w:pStyle w:val="Compact"/>
              <w:jc w:val="left"/>
            </w:pPr>
            <w:r>
              <w:t xml:space="preserve">2 weeks</w:t>
            </w:r>
          </w:p>
        </w:tc>
        <w:tc>
          <w:tcPr/>
          <w:p>
            <w:pPr>
              <w:pStyle w:val="Compact"/>
              <w:jc w:val="left"/>
            </w:pPr>
            <w:r>
              <w:t xml:space="preserve">12,000 / wk</w:t>
            </w:r>
          </w:p>
        </w:tc>
        <w:tc>
          <w:tcPr/>
          <w:p>
            <w:pPr>
              <w:pStyle w:val="Compact"/>
              <w:jc w:val="left"/>
            </w:pPr>
            <w:r>
              <w:t xml:space="preserve">24,000</w:t>
            </w:r>
          </w:p>
        </w:tc>
        <w:tc>
          <w:tcPr/>
          <w:p>
            <w:pPr>
              <w:pStyle w:val="Compact"/>
              <w:jc w:val="left"/>
            </w:pPr>
            <w:r>
              <w:t xml:space="preserve">6,400</w:t>
            </w:r>
          </w:p>
        </w:tc>
      </w:tr>
      <w:tr>
        <w:tc>
          <w:tcPr/>
          <w:p>
            <w:pPr>
              <w:pStyle w:val="Compact"/>
              <w:jc w:val="left"/>
            </w:pPr>
            <w:r>
              <w:t xml:space="preserve">3</w:t>
            </w:r>
          </w:p>
        </w:tc>
        <w:tc>
          <w:tcPr/>
          <w:p>
            <w:pPr>
              <w:pStyle w:val="Compact"/>
              <w:jc w:val="left"/>
            </w:pPr>
            <w:r>
              <w:t xml:space="preserve">High-Fidelity UI Design (Arabic &amp; English)</w:t>
            </w:r>
          </w:p>
        </w:tc>
        <w:tc>
          <w:tcPr/>
          <w:p>
            <w:pPr>
              <w:pStyle w:val="Compact"/>
              <w:jc w:val="left"/>
            </w:pPr>
            <w:r>
              <w:t xml:space="preserve">4 weeks</w:t>
            </w:r>
          </w:p>
        </w:tc>
        <w:tc>
          <w:tcPr/>
          <w:p>
            <w:pPr>
              <w:pStyle w:val="Compact"/>
              <w:jc w:val="left"/>
            </w:pPr>
            <w:r>
              <w:t xml:space="preserve">14,000 / wk</w:t>
            </w:r>
          </w:p>
        </w:tc>
        <w:tc>
          <w:tcPr/>
          <w:p>
            <w:pPr>
              <w:pStyle w:val="Compact"/>
              <w:jc w:val="left"/>
            </w:pPr>
            <w:r>
              <w:t xml:space="preserve">56,000</w:t>
            </w:r>
          </w:p>
        </w:tc>
        <w:tc>
          <w:tcPr/>
          <w:p>
            <w:pPr>
              <w:pStyle w:val="Compact"/>
              <w:jc w:val="left"/>
            </w:pPr>
            <w:r>
              <w:t xml:space="preserve">14,933</w:t>
            </w:r>
          </w:p>
        </w:tc>
      </w:tr>
      <w:tr>
        <w:tc>
          <w:tcPr/>
          <w:p>
            <w:pPr>
              <w:pStyle w:val="Compact"/>
              <w:jc w:val="left"/>
            </w:pPr>
            <w:r>
              <w:t xml:space="preserve">4</w:t>
            </w:r>
          </w:p>
        </w:tc>
        <w:tc>
          <w:tcPr/>
          <w:p>
            <w:pPr>
              <w:pStyle w:val="Compact"/>
              <w:jc w:val="left"/>
            </w:pPr>
            <w:r>
              <w:t xml:space="preserve">Interactive Prototyping &amp; Micro-interactions</w:t>
            </w:r>
          </w:p>
        </w:tc>
        <w:tc>
          <w:tcPr/>
          <w:p>
            <w:pPr>
              <w:pStyle w:val="Compact"/>
              <w:jc w:val="left"/>
            </w:pPr>
            <w:r>
              <w:t xml:space="preserve">2 weeks</w:t>
            </w:r>
          </w:p>
        </w:tc>
        <w:tc>
          <w:tcPr/>
          <w:p>
            <w:pPr>
              <w:pStyle w:val="Compact"/>
              <w:jc w:val="left"/>
            </w:pPr>
            <w:r>
              <w:t xml:space="preserve">14,000 / wk</w:t>
            </w:r>
          </w:p>
        </w:tc>
        <w:tc>
          <w:tcPr/>
          <w:p>
            <w:pPr>
              <w:pStyle w:val="Compact"/>
              <w:jc w:val="left"/>
            </w:pPr>
            <w:r>
              <w:t xml:space="preserve">28,000</w:t>
            </w:r>
          </w:p>
        </w:tc>
        <w:tc>
          <w:tcPr/>
          <w:p>
            <w:pPr>
              <w:pStyle w:val="Compact"/>
              <w:jc w:val="left"/>
            </w:pPr>
            <w:r>
              <w:t xml:space="preserve">7,467</w:t>
            </w:r>
          </w:p>
        </w:tc>
      </w:tr>
      <w:tr>
        <w:tc>
          <w:tcPr/>
          <w:p>
            <w:pPr>
              <w:pStyle w:val="Compact"/>
              <w:jc w:val="left"/>
            </w:pPr>
            <w:r>
              <w:t xml:space="preserve">5</w:t>
            </w:r>
          </w:p>
        </w:tc>
        <w:tc>
          <w:tcPr/>
          <w:p>
            <w:pPr>
              <w:pStyle w:val="Compact"/>
              <w:jc w:val="left"/>
            </w:pPr>
            <w:r>
              <w:t xml:space="preserve">Usability Testing (Jeddah-based participants)</w:t>
            </w:r>
          </w:p>
        </w:tc>
        <w:tc>
          <w:tcPr/>
          <w:p>
            <w:pPr>
              <w:pStyle w:val="Compact"/>
              <w:jc w:val="left"/>
            </w:pPr>
            <w:r>
              <w:t xml:space="preserve">1 week</w:t>
            </w:r>
          </w:p>
        </w:tc>
        <w:tc>
          <w:tcPr/>
          <w:p>
            <w:pPr>
              <w:pStyle w:val="Compact"/>
              <w:jc w:val="left"/>
            </w:pPr>
            <w:r>
              <w:t xml:space="preserve">10,000 / wk</w:t>
            </w:r>
          </w:p>
        </w:tc>
        <w:tc>
          <w:tcPr/>
          <w:p>
            <w:pPr>
              <w:pStyle w:val="Compact"/>
              <w:jc w:val="left"/>
            </w:pPr>
            <w:r>
              <w:t xml:space="preserve">10,000</w:t>
            </w:r>
          </w:p>
        </w:tc>
        <w:tc>
          <w:tcPr/>
          <w:p>
            <w:pPr>
              <w:pStyle w:val="Compact"/>
              <w:jc w:val="left"/>
            </w:pPr>
            <w:r>
              <w:t xml:space="preserve">2,667</w:t>
            </w:r>
          </w:p>
        </w:tc>
      </w:tr>
      <w:tr>
        <w:tc>
          <w:tcPr/>
          <w:p>
            <w:pPr>
              <w:pStyle w:val="Compact"/>
              <w:jc w:val="left"/>
            </w:pPr>
            <w:r>
              <w:t xml:space="preserve">6</w:t>
            </w:r>
          </w:p>
        </w:tc>
        <w:tc>
          <w:tcPr/>
          <w:p>
            <w:pPr>
              <w:pStyle w:val="Compact"/>
              <w:jc w:val="left"/>
            </w:pPr>
            <w:r>
              <w:t xml:space="preserve">Design System, Component Library &amp; Handoff</w:t>
            </w:r>
          </w:p>
        </w:tc>
        <w:tc>
          <w:tcPr/>
          <w:p>
            <w:pPr>
              <w:pStyle w:val="Compact"/>
              <w:jc w:val="left"/>
            </w:pPr>
            <w:r>
              <w:t xml:space="preserve">2 weeks</w:t>
            </w:r>
          </w:p>
        </w:tc>
        <w:tc>
          <w:tcPr/>
          <w:p>
            <w:pPr>
              <w:pStyle w:val="Compact"/>
              <w:jc w:val="left"/>
            </w:pPr>
            <w:r>
              <w:t xml:space="preserve">12,000 / wk</w:t>
            </w:r>
          </w:p>
        </w:tc>
        <w:tc>
          <w:tcPr/>
          <w:p>
            <w:pPr>
              <w:pStyle w:val="Compact"/>
              <w:jc w:val="left"/>
            </w:pPr>
            <w:r>
              <w:t xml:space="preserve">24,000</w:t>
            </w:r>
          </w:p>
        </w:tc>
        <w:tc>
          <w:tcPr/>
          <w:p>
            <w:pPr>
              <w:pStyle w:val="Compact"/>
              <w:jc w:val="left"/>
            </w:pPr>
            <w:r>
              <w:t xml:space="preserve">6,400</w:t>
            </w:r>
          </w:p>
        </w:tc>
      </w:tr>
      <w:tr>
        <w:tc>
          <w:tcPr/>
          <w:p>
            <w:pPr>
              <w:pStyle w:val="Compact"/>
              <w:jc w:val="left"/>
            </w:pPr>
            <w:r>
              <w:t xml:space="preserve">7</w:t>
            </w:r>
          </w:p>
        </w:tc>
        <w:tc>
          <w:tcPr/>
          <w:p>
            <w:pPr>
              <w:pStyle w:val="Compact"/>
              <w:jc w:val="left"/>
            </w:pPr>
            <w:r>
              <w:t xml:space="preserve">Post-Launch Design Support (30 days)</w:t>
            </w:r>
          </w:p>
        </w:tc>
        <w:tc>
          <w:tcPr/>
          <w:p>
            <w:pPr>
              <w:pStyle w:val="Compact"/>
              <w:jc w:val="left"/>
            </w:pPr>
            <w:r>
              <w:t xml:space="preserve">1 month</w:t>
            </w:r>
          </w:p>
        </w:tc>
        <w:tc>
          <w:tcPr/>
          <w:p>
            <w:pPr>
              <w:pStyle w:val="Compact"/>
              <w:jc w:val="left"/>
            </w:pPr>
            <w:r>
              <w:t xml:space="preserve">8,000 / mo</w:t>
            </w:r>
          </w:p>
        </w:tc>
        <w:tc>
          <w:tcPr/>
          <w:p>
            <w:pPr>
              <w:pStyle w:val="Compact"/>
              <w:jc w:val="left"/>
            </w:pPr>
            <w:r>
              <w:t xml:space="preserve">8,000</w:t>
            </w:r>
          </w:p>
        </w:tc>
        <w:tc>
          <w:tcPr/>
          <w:p>
            <w:pPr>
              <w:pStyle w:val="Compact"/>
              <w:jc w:val="left"/>
            </w:pPr>
            <w:r>
              <w:t xml:space="preserve">2,133</w:t>
            </w:r>
          </w:p>
        </w:tc>
      </w:tr>
      <w:tr>
        <w:tc>
          <w:tcPr>
            <w:gridSpan w:val="4"/>
          </w:tcPr>
          <w:p>
            <w:pPr>
              <w:pStyle w:val="Compact"/>
              <w:jc w:val="left"/>
            </w:pPr>
            <w:r>
              <w:t xml:space="preserve">Subtotal</w:t>
            </w:r>
          </w:p>
        </w:tc>
        <w:tc>
          <w:tcPr/>
          <w:p>
            <w:pPr>
              <w:pStyle w:val="Compact"/>
              <w:jc w:val="left"/>
            </w:pPr>
            <w:r>
              <w:t xml:space="preserve">174,000 SAR</w:t>
            </w:r>
          </w:p>
        </w:tc>
        <w:tc>
          <w:tcPr/>
          <w:p>
            <w:pPr>
              <w:pStyle w:val="Compact"/>
              <w:jc w:val="left"/>
            </w:pPr>
            <w:r>
              <w:t xml:space="preserve">46,400 USD</w:t>
            </w:r>
          </w:p>
        </w:tc>
      </w:tr>
      <w:tr>
        <w:tc>
          <w:tcPr>
            <w:gridSpan w:val="4"/>
          </w:tcPr>
          <w:p>
            <w:pPr>
              <w:pStyle w:val="Compact"/>
              <w:jc w:val="left"/>
            </w:pPr>
            <w:r>
              <w:t xml:space="preserve">VAT (15% – Saudi Arabia)</w:t>
            </w:r>
          </w:p>
        </w:tc>
        <w:tc>
          <w:tcPr/>
          <w:p>
            <w:pPr>
              <w:pStyle w:val="Compact"/>
              <w:jc w:val="left"/>
            </w:pPr>
            <w:r>
              <w:t xml:space="preserve">26,100 SAR</w:t>
            </w:r>
          </w:p>
        </w:tc>
        <w:tc>
          <w:tcPr/>
          <w:p>
            <w:pPr>
              <w:pStyle w:val="Compact"/>
              <w:jc w:val="left"/>
            </w:pPr>
            <w:r>
              <w:t xml:space="preserve">6,960 USD</w:t>
            </w:r>
          </w:p>
        </w:tc>
      </w:tr>
      <w:tr>
        <w:tc>
          <w:tcPr>
            <w:gridSpan w:val="4"/>
          </w:tcPr>
          <w:p>
            <w:pPr>
              <w:pStyle w:val="Compact"/>
              <w:jc w:val="left"/>
            </w:pPr>
            <w:r>
              <w:t xml:space="preserve">TOTAL ESTIMATED COST</w:t>
            </w:r>
          </w:p>
        </w:tc>
        <w:tc>
          <w:tcPr/>
          <w:p>
            <w:pPr>
              <w:pStyle w:val="Compact"/>
              <w:jc w:val="left"/>
            </w:pPr>
            <w:r>
              <w:t xml:space="preserve">200,100 SAR</w:t>
            </w:r>
          </w:p>
        </w:tc>
        <w:tc>
          <w:tcPr/>
          <w:p>
            <w:pPr>
              <w:pStyle w:val="Compact"/>
              <w:jc w:val="left"/>
            </w:pPr>
            <w:r>
              <w:t xml:space="preserve">53,360 USD</w:t>
            </w:r>
          </w:p>
        </w:tc>
      </w:tr>
    </w:tbl>
    <w:bookmarkEnd w:id="23"/>
    <w:bookmarkStart w:id="24" w:name="project-timeline"/>
    <w:p>
      <w:pPr>
        <w:pStyle w:val="Heading2"/>
      </w:pPr>
      <w:r>
        <w:t xml:space="preserve">4. Project Timeline</w:t>
      </w:r>
    </w:p>
    <w:p>
      <w:pPr>
        <w:pStyle w:val="FirstParagraph"/>
      </w:pPr>
      <w:r>
        <w:t xml:space="preserve">The total estimated duration for this</w:t>
      </w:r>
      <w:r>
        <w:t xml:space="preserve"> </w:t>
      </w:r>
      <w:r>
        <w:t xml:space="preserve">UX UI Designer</w:t>
      </w:r>
      <w:r>
        <w:t xml:space="preserve"> </w:t>
      </w:r>
      <w:r>
        <w:t xml:space="preserve">engagement is approximately</w:t>
      </w:r>
      <w:r>
        <w:t xml:space="preserve"> </w:t>
      </w:r>
      <w:r>
        <w:rPr>
          <w:bCs/>
          <w:b/>
        </w:rPr>
        <w:t xml:space="preserve">13 to 14 weeks</w:t>
      </w:r>
      <w:r>
        <w:t xml:space="preserve"> </w:t>
      </w:r>
      <w:r>
        <w:t xml:space="preserve">from the date of contract signing. All deliverables will be produced and reviewed in coordination with the client's team based in</w:t>
      </w:r>
      <w:r>
        <w:t xml:space="preserve"> </w:t>
      </w:r>
      <w:r>
        <w:t xml:space="preserve">Saudi Arabia Jeddah</w:t>
      </w:r>
      <w:r>
        <w:t xml:space="preserve">. Milestone reviews will be conducted bi-weekly via in-person meetings at the client's Jeddah office or through scheduled video conferences.</w:t>
      </w:r>
    </w:p>
    <w:bookmarkEnd w:id="24"/>
    <w:bookmarkStart w:id="25" w:name="payment-schedule"/>
    <w:p>
      <w:pPr>
        <w:pStyle w:val="Heading2"/>
      </w:pPr>
      <w:r>
        <w:t xml:space="preserve">5. Payment Schedule</w:t>
      </w:r>
    </w:p>
    <w:p>
      <w:pPr>
        <w:numPr>
          <w:ilvl w:val="0"/>
          <w:numId w:val="1002"/>
        </w:numPr>
        <w:pStyle w:val="Compact"/>
      </w:pPr>
      <w:r>
        <w:rPr>
          <w:bCs/>
          <w:b/>
        </w:rPr>
        <w:t xml:space="preserve">30% Advance Payment:</w:t>
      </w:r>
      <w:r>
        <w:t xml:space="preserve"> </w:t>
      </w:r>
      <w:r>
        <w:t xml:space="preserve">Due upon acceptance of this Quotation Estimate and signing of the service agreement (SAR 60,030).</w:t>
      </w:r>
    </w:p>
    <w:p>
      <w:pPr>
        <w:numPr>
          <w:ilvl w:val="0"/>
          <w:numId w:val="1002"/>
        </w:numPr>
        <w:pStyle w:val="Compact"/>
      </w:pPr>
      <w:r>
        <w:rPr>
          <w:bCs/>
          <w:b/>
        </w:rPr>
        <w:t xml:space="preserve">40% Mid-Project Payment:</w:t>
      </w:r>
      <w:r>
        <w:t xml:space="preserve"> </w:t>
      </w:r>
      <w:r>
        <w:t xml:space="preserve">Due upon completion of the High-Fidelity UI Design phase (SAR 80,040).</w:t>
      </w:r>
    </w:p>
    <w:p>
      <w:pPr>
        <w:numPr>
          <w:ilvl w:val="0"/>
          <w:numId w:val="1002"/>
        </w:numPr>
        <w:pStyle w:val="Compact"/>
      </w:pPr>
      <w:r>
        <w:rPr>
          <w:bCs/>
          <w:b/>
        </w:rPr>
        <w:t xml:space="preserve">30% Final Payment:</w:t>
      </w:r>
      <w:r>
        <w:t xml:space="preserve"> </w:t>
      </w:r>
      <w:r>
        <w:t xml:space="preserve">Due upon delivery of the Design System, final handoff, and client sign-off (SAR 60,030).</w:t>
      </w:r>
    </w:p>
    <w:bookmarkEnd w:id="25"/>
    <w:bookmarkStart w:id="26"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After the expiry date, pricing may be subject to revision based on market conditions in</w:t>
      </w:r>
      <w:r>
        <w:t xml:space="preserve"> </w:t>
      </w:r>
      <w:r>
        <w:t xml:space="preserve">Saudi Arabia Jeddah</w:t>
      </w:r>
      <w:r>
        <w:t xml:space="preserve">.</w:t>
      </w:r>
    </w:p>
    <w:p>
      <w:pPr>
        <w:numPr>
          <w:ilvl w:val="0"/>
          <w:numId w:val="1003"/>
        </w:numPr>
        <w:pStyle w:val="Compact"/>
      </w:pPr>
      <w:r>
        <w:t xml:space="preserve">All rates quoted are in Saudi Riyals (SAR) and are inclusive of the</w:t>
      </w:r>
      <w:r>
        <w:t xml:space="preserve"> </w:t>
      </w:r>
      <w:r>
        <w:t xml:space="preserve">UX UI Designer</w:t>
      </w:r>
      <w:r>
        <w:t xml:space="preserve">'s professional expertise, design tools, and software licenses. Travel within Jeddah is included; travel outside Jeddah will be billed at cost.</w:t>
      </w:r>
    </w:p>
    <w:p>
      <w:pPr>
        <w:numPr>
          <w:ilvl w:val="0"/>
          <w:numId w:val="1003"/>
        </w:numPr>
        <w:pStyle w:val="Compact"/>
      </w:pPr>
      <w:r>
        <w:t xml:space="preserve">The client agrees to provide timely feedback (within 3 business days) on all design deliverables. Delays in feedback may extend the project timeline proportionally.</w:t>
      </w:r>
    </w:p>
    <w:p>
      <w:pPr>
        <w:numPr>
          <w:ilvl w:val="0"/>
          <w:numId w:val="1003"/>
        </w:numPr>
        <w:pStyle w:val="Compact"/>
      </w:pPr>
      <w:r>
        <w:t xml:space="preserve">All intellectual property rights to the final design deliverables transfer to the client upon full payment. The</w:t>
      </w:r>
      <w:r>
        <w:t xml:space="preserve"> </w:t>
      </w:r>
      <w:r>
        <w:t xml:space="preserve">UX UI Designer</w:t>
      </w:r>
      <w:r>
        <w:t xml:space="preserve"> </w:t>
      </w:r>
      <w:r>
        <w:t xml:space="preserve">retains the right to display completed work in their professional portfolio.</w:t>
      </w:r>
    </w:p>
    <w:p>
      <w:pPr>
        <w:numPr>
          <w:ilvl w:val="0"/>
          <w:numId w:val="1003"/>
        </w:numPr>
        <w:pStyle w:val="Compact"/>
      </w:pPr>
      <w:r>
        <w:t xml:space="preserve">This estimate is governed by the laws of the Kingdom of Saudi Arabia. Any disputes shall be resolved through arbitration in Jeddah, Saudi Arabia.</w:t>
      </w:r>
    </w:p>
    <w:p>
      <w:pPr>
        <w:numPr>
          <w:ilvl w:val="0"/>
          <w:numId w:val="1003"/>
        </w:numPr>
        <w:pStyle w:val="Compact"/>
      </w:pPr>
      <w:r>
        <w:t xml:space="preserve">Revisions beyond the agreed scope (more than two rounds per phase) will be billed at the hourly rate of SAR 800 per hour.</w:t>
      </w:r>
    </w:p>
    <w:p>
      <w:pPr>
        <w:numPr>
          <w:ilvl w:val="0"/>
          <w:numId w:val="1003"/>
        </w:numPr>
        <w:pStyle w:val="Compact"/>
      </w:pPr>
      <w:r>
        <w:t xml:space="preserve">Confidentiality: Both parties agree to maintain strict confidentiality regarding all project materials, user data, and business information shared during the engagement in</w:t>
      </w:r>
      <w:r>
        <w:t xml:space="preserve"> </w:t>
      </w:r>
      <w:r>
        <w:t xml:space="preserve">Saudi Arabia Jeddah</w:t>
      </w:r>
      <w:r>
        <w:t xml:space="preserve">.</w:t>
      </w:r>
    </w:p>
    <w:bookmarkEnd w:id="26"/>
    <w:bookmarkStart w:id="27" w:name="acceptance-authorization"/>
    <w:p>
      <w:pPr>
        <w:pStyle w:val="Heading2"/>
      </w:pPr>
      <w:r>
        <w:t xml:space="preserve">7.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UX UI Designer</w:t>
      </w:r>
      <w:r>
        <w:t xml:space="preserve"> </w:t>
      </w:r>
      <w:r>
        <w:t xml:space="preserve">services in</w:t>
      </w:r>
      <w:r>
        <w:t xml:space="preserve"> </w:t>
      </w:r>
      <w:r>
        <w:t xml:space="preserve">Saudi Arabia Jeddah</w:t>
      </w:r>
      <w:r>
        <w:t xml:space="preserve"> </w:t>
      </w:r>
      <w:r>
        <w:t xml:space="preserve">in full, including all terms, conditions, pricing, and timelines as stated above.</w:t>
      </w:r>
    </w:p>
    <w:p>
      <w:pPr>
        <w:pStyle w:val="BodyText"/>
      </w:pPr>
      <w:r>
        <w:rPr>
          <w:bCs/>
          <w:b/>
        </w:rPr>
        <w:t xml:space="preserve">For DesignCraft Digital Solutions</w:t>
      </w:r>
    </w:p>
    <w:p>
      <w:pPr>
        <w:pStyle w:val="BodyText"/>
      </w:pPr>
      <w:r>
        <w:t xml:space="preserve">Name: _________________________</w:t>
      </w:r>
    </w:p>
    <w:p>
      <w:pPr>
        <w:pStyle w:val="BodyText"/>
      </w:pPr>
      <w:r>
        <w:t xml:space="preserve">Title: Lead UX UI Designer</w:t>
      </w:r>
    </w:p>
    <w:p>
      <w:pPr>
        <w:pStyle w:val="BodyText"/>
      </w:pPr>
      <w:r>
        <w:t xml:space="preserve">Signature &amp; Date</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&amp; Date</w:t>
      </w:r>
    </w:p>
    <w:p>
      <w:pPr>
        <w:pStyle w:val="BodyText"/>
      </w:pPr>
      <w:r>
        <w:t xml:space="preserve">DesignCraft Digital Solutions | Jeddah, Saudi Arabia | Tel: +966-12-XXX-XXXX | Email: quotes@designcraft.sa</w:t>
      </w:r>
    </w:p>
    <w:p>
      <w:pPr>
        <w:pStyle w:val="BodyText"/>
      </w:pPr>
      <w:r>
        <w:t xml:space="preserve">This Quotation Estimate document is generated electronically and is valid without a physical stamp. Ref: QE-JED-2025-0472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Saudi Arabia Jeddah</dc:title>
  <dc:creator/>
  <dc:language>en</dc:language>
  <cp:keywords/>
  <dcterms:created xsi:type="dcterms:W3CDTF">2026-10-10T09:18:28Z</dcterms:created>
  <dcterms:modified xsi:type="dcterms:W3CDTF">2026-10-10T09:18:28Z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