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UX</w:t>
      </w:r>
      <w:r>
        <w:t xml:space="preserve"> </w:t>
      </w:r>
      <w:r>
        <w:t xml:space="preserve">UI</w:t>
      </w:r>
      <w:r>
        <w:t xml:space="preserve"> </w:t>
      </w:r>
      <w:r>
        <w:t xml:space="preserve">Designer</w:t>
      </w:r>
      <w:r>
        <w:t xml:space="preserve"> </w:t>
      </w:r>
      <w:r>
        <w:t xml:space="preserve">Services</w:t>
      </w:r>
      <w:r>
        <w:t xml:space="preserve"> </w:t>
      </w:r>
      <w:r>
        <w:t xml:space="preserve">-</w:t>
      </w:r>
      <w:r>
        <w:t xml:space="preserve"> </w:t>
      </w:r>
      <w:r>
        <w:t xml:space="preserve">Spain</w:t>
      </w:r>
      <w:r>
        <w:t xml:space="preserve"> </w:t>
      </w:r>
      <w:r>
        <w:t xml:space="preserve">Madrid</w:t>
      </w:r>
    </w:p>
    <w:bookmarkStart w:id="20" w:name="pixelcraft-digital-studio"/>
    <w:p>
      <w:pPr>
        <w:pStyle w:val="Heading1"/>
      </w:pPr>
      <w:r>
        <w:t xml:space="preserve">PixelCraft Digital Studio</w:t>
      </w:r>
    </w:p>
    <w:p>
      <w:pPr>
        <w:pStyle w:val="FirstParagraph"/>
      </w:pPr>
      <w:r>
        <w:t xml:space="preserve">Calle de Serrano 45, 3ºB — 28001 Madrid, Spain</w:t>
      </w:r>
    </w:p>
    <w:p>
      <w:pPr>
        <w:pStyle w:val="BodyText"/>
      </w:pPr>
      <w:r>
        <w:t xml:space="preserve">Tel: +34 910 000 000  |  Email: quotes@pixelcraftmadrid.es</w:t>
      </w:r>
    </w:p>
    <w:p>
      <w:pPr>
        <w:pStyle w:val="BodyText"/>
      </w:pPr>
      <w:r>
        <w:t xml:space="preserve">IFSC: B-12345678-K  |  VAT (NIF): ES-B87654321</w:t>
      </w:r>
    </w:p>
    <w:bookmarkEnd w:id="20"/>
    <w:p>
      <w:pPr>
        <w:pStyle w:val="BodyText"/>
      </w:pPr>
      <w:r>
        <w:t xml:space="preserve">Quotation Estimate</w:t>
      </w:r>
    </w:p>
    <w:bookmarkStart w:id="21" w:name="quotation-details"/>
    <w:p>
      <w:pPr>
        <w:pStyle w:val="Heading3"/>
      </w:pPr>
      <w:r>
        <w:t xml:space="preserve">Quotation Details</w:t>
      </w:r>
    </w:p>
    <w:p>
      <w:pPr>
        <w:pStyle w:val="FirstParagraph"/>
      </w:pPr>
      <w:r>
        <w:rPr>
          <w:bCs/>
          <w:b/>
        </w:rPr>
        <w:t xml:space="preserve">Quotation Estimate No.:</w:t>
      </w:r>
      <w:r>
        <w:t xml:space="preserve"> </w:t>
      </w:r>
      <w:r>
        <w:t xml:space="preserve">QTE-2025-0047</w:t>
      </w:r>
    </w:p>
    <w:p>
      <w:pPr>
        <w:pStyle w:val="BodyText"/>
      </w:pPr>
      <w:r>
        <w:rPr>
          <w:bCs/>
          <w:b/>
        </w:rPr>
        <w:t xml:space="preserve">Date of Issue:</w:t>
      </w:r>
      <w:r>
        <w:t xml:space="preserve"> </w:t>
      </w:r>
      <w:r>
        <w:t xml:space="preserve">14 June 2025</w:t>
      </w:r>
    </w:p>
    <w:p>
      <w:pPr>
        <w:pStyle w:val="BodyText"/>
      </w:pPr>
      <w:r>
        <w:rPr>
          <w:bCs/>
          <w:b/>
        </w:rPr>
        <w:t xml:space="preserve">Valid Until:</w:t>
      </w:r>
      <w:r>
        <w:t xml:space="preserve"> </w:t>
      </w:r>
      <w:r>
        <w:t xml:space="preserve">14 July 2025 (30 days)</w:t>
      </w:r>
    </w:p>
    <w:p>
      <w:pPr>
        <w:pStyle w:val="BodyText"/>
      </w:pPr>
      <w:r>
        <w:rPr>
          <w:bCs/>
          <w:b/>
        </w:rPr>
        <w:t xml:space="preserve">Service Location:</w:t>
      </w:r>
      <w:r>
        <w:t xml:space="preserve"> </w:t>
      </w:r>
      <w:r>
        <w:t xml:space="preserve">Spain Madrid</w:t>
      </w:r>
    </w:p>
    <w:p>
      <w:pPr>
        <w:pStyle w:val="BodyText"/>
      </w:pPr>
      <w:r>
        <w:rPr>
          <w:bCs/>
          <w:b/>
        </w:rPr>
        <w:t xml:space="preserve">Prepared By:</w:t>
      </w:r>
      <w:r>
        <w:t xml:space="preserve"> </w:t>
      </w:r>
      <w:r>
        <w:t xml:space="preserve">Laura García, Senior UX UI Designer</w:t>
      </w:r>
    </w:p>
    <w:bookmarkEnd w:id="21"/>
    <w:bookmarkStart w:id="22" w:name="client-information"/>
    <w:p>
      <w:pPr>
        <w:pStyle w:val="Heading3"/>
      </w:pPr>
      <w:r>
        <w:t xml:space="preserve">Client Information</w:t>
      </w:r>
    </w:p>
    <w:p>
      <w:pPr>
        <w:pStyle w:val="FirstParagraph"/>
      </w:pPr>
      <w:r>
        <w:rPr>
          <w:bCs/>
          <w:b/>
        </w:rPr>
        <w:t xml:space="preserve">Company:</w:t>
      </w:r>
      <w:r>
        <w:t xml:space="preserve"> </w:t>
      </w:r>
      <w:r>
        <w:t xml:space="preserve">[Client Company Name]</w:t>
      </w:r>
    </w:p>
    <w:p>
      <w:pPr>
        <w:pStyle w:val="BodyText"/>
      </w:pPr>
      <w:r>
        <w:rPr>
          <w:bCs/>
          <w:b/>
        </w:rPr>
        <w:t xml:space="preserve">Contact Person:</w:t>
      </w:r>
      <w:r>
        <w:t xml:space="preserve"> </w:t>
      </w:r>
      <w:r>
        <w:t xml:space="preserve">[Name and Title]</w:t>
      </w:r>
    </w:p>
    <w:p>
      <w:pPr>
        <w:pStyle w:val="BodyText"/>
      </w:pPr>
      <w:r>
        <w:rPr>
          <w:bCs/>
          <w:b/>
        </w:rPr>
        <w:t xml:space="preserve">Address:</w:t>
      </w:r>
      <w:r>
        <w:t xml:space="preserve"> </w:t>
      </w:r>
      <w:r>
        <w:t xml:space="preserve">[Street, City, Postal Code], Spain</w:t>
      </w:r>
    </w:p>
    <w:p>
      <w:pPr>
        <w:pStyle w:val="BodyText"/>
      </w:pPr>
      <w:r>
        <w:rPr>
          <w:bCs/>
          <w:b/>
        </w:rPr>
        <w:t xml:space="preserve">Email:</w:t>
      </w:r>
      <w:r>
        <w:t xml:space="preserve"> </w:t>
      </w:r>
      <w:r>
        <w:t xml:space="preserve">[client@email.com]</w:t>
      </w:r>
    </w:p>
    <w:p>
      <w:pPr>
        <w:pStyle w:val="BodyText"/>
      </w:pPr>
      <w:r>
        <w:rPr>
          <w:bCs/>
          <w:b/>
        </w:rPr>
        <w:t xml:space="preserve">Phone:</w:t>
      </w:r>
      <w:r>
        <w:t xml:space="preserve"> </w:t>
      </w:r>
      <w:r>
        <w:t xml:space="preserve">[+34 XXX XXX XXX]</w:t>
      </w:r>
    </w:p>
    <w:bookmarkEnd w:id="22"/>
    <w:bookmarkStart w:id="23" w:name="X0c7581080508d578c26b6d8dfd726c7e3ca5cc9"/>
    <w:p>
      <w:pPr>
        <w:pStyle w:val="Heading2"/>
      </w:pPr>
      <w:r>
        <w:t xml:space="preserve">1. Purpose and Scope of This Quotation Estimate</w:t>
      </w:r>
    </w:p>
    <w:p>
      <w:pPr>
        <w:pStyle w:val="FirstParagraph"/>
      </w:pPr>
      <w:r>
        <w:t xml:space="preserve">This</w:t>
      </w:r>
      <w:r>
        <w:t xml:space="preserve"> </w:t>
      </w:r>
      <w:r>
        <w:t xml:space="preserve">Quotation Estimate</w:t>
      </w:r>
      <w:r>
        <w:t xml:space="preserve"> </w:t>
      </w:r>
      <w:r>
        <w:t xml:space="preserve">has been prepared by PixelCraft Digital Studio, a specialised design agency based in</w:t>
      </w:r>
      <w:r>
        <w:t xml:space="preserve"> </w:t>
      </w:r>
      <w:r>
        <w:t xml:space="preserve">Spain Madrid</w:t>
      </w:r>
      <w:r>
        <w:t xml:space="preserve">, to provide a comprehensive and transparent cost breakdown for the engagement of a dedicated</w:t>
      </w:r>
      <w:r>
        <w:t xml:space="preserve"> </w:t>
      </w:r>
      <w:r>
        <w:t xml:space="preserve">UX UI Designer</w:t>
      </w:r>
      <w:r>
        <w:t xml:space="preserve"> </w:t>
      </w:r>
      <w:r>
        <w:t xml:space="preserve">to support your organisation’s digital product development. This document outlines the full scope of services, deliverables, timelines, and associated fees for the UX UI Designer engagement. All pricing is quoted in Euros (EUR) and is subject to the applicable Spanish Value Added Tax (VAT / IVA) of 21%, unless otherwise stated. This Quotation Estimate is valid for thirty (30) calendar days from the date of issue, after which rates may be subject to revision based on market conditions in the Spain Madrid creative services sector.</w:t>
      </w:r>
    </w:p>
    <w:bookmarkEnd w:id="23"/>
    <w:bookmarkStart w:id="24" w:name="Xc8bcfefed2115b5660f5417a1dd22756c49e51e"/>
    <w:p>
      <w:pPr>
        <w:pStyle w:val="Heading2"/>
      </w:pPr>
      <w:r>
        <w:t xml:space="preserve">2. Scope of Services — UX UI Designer Engagement</w:t>
      </w:r>
    </w:p>
    <w:p>
      <w:pPr>
        <w:pStyle w:val="FirstParagraph"/>
      </w:pPr>
      <w:r>
        <w:t xml:space="preserve">The following services will be delivered by our senior UX UI Designer, who will work either on-site at your offices in Spain Madrid or remotely with regular in-person meetings scheduled at our studio in the Salamanca district of Madrid. The engagement covers the complete user experience and user interface design lifecycle for your specified digital product(s).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Ref.</w:t>
            </w:r>
          </w:p>
        </w:tc>
        <w:tc>
          <w:tcPr/>
          <w:p>
            <w:pPr>
              <w:pStyle w:val="Compact"/>
              <w:jc w:val="left"/>
            </w:pPr>
            <w:r>
              <w:t xml:space="preserve">Service / Deliverable</w:t>
            </w:r>
          </w:p>
        </w:tc>
        <w:tc>
          <w:tcPr/>
          <w:p>
            <w:pPr>
              <w:pStyle w:val="Compact"/>
              <w:jc w:val="left"/>
            </w:pPr>
            <w:r>
              <w:t xml:space="preserve">Description</w:t>
            </w:r>
          </w:p>
        </w:tc>
        <w:tc>
          <w:tcPr/>
          <w:p>
            <w:pPr>
              <w:pStyle w:val="Compact"/>
              <w:jc w:val="left"/>
            </w:pPr>
            <w:r>
              <w:t xml:space="preserve">Duration</w:t>
            </w:r>
          </w:p>
        </w:tc>
        <w:tc>
          <w:tcPr/>
          <w:p>
            <w:pPr>
              <w:pStyle w:val="Compact"/>
              <w:jc w:val="left"/>
            </w:pPr>
            <w:r>
              <w:t xml:space="preserve">Rate (EUR)</w:t>
            </w:r>
          </w:p>
        </w:tc>
        <w:tc>
          <w:tcPr/>
          <w:p>
            <w:pPr>
              <w:pStyle w:val="Compact"/>
              <w:jc w:val="left"/>
            </w:pPr>
            <w:r>
              <w:t xml:space="preserve">Amount (EUR)</w:t>
            </w:r>
          </w:p>
        </w:tc>
      </w:tr>
      <w:tr>
        <w:tc>
          <w:tcPr/>
          <w:p>
            <w:pPr>
              <w:pStyle w:val="Compact"/>
              <w:jc w:val="left"/>
            </w:pPr>
            <w:r>
              <w:t xml:space="preserve">01</w:t>
            </w:r>
          </w:p>
        </w:tc>
        <w:tc>
          <w:tcPr/>
          <w:p>
            <w:pPr>
              <w:pStyle w:val="Compact"/>
              <w:jc w:val="left"/>
            </w:pPr>
            <w:r>
              <w:t xml:space="preserve">Discovery &amp; User Research</w:t>
            </w:r>
          </w:p>
        </w:tc>
        <w:tc>
          <w:tcPr/>
          <w:p>
            <w:pPr>
              <w:pStyle w:val="Compact"/>
              <w:jc w:val="left"/>
            </w:pPr>
            <w:r>
              <w:t xml:space="preserve">Stakeholder interviews, user persona development, competitive analysis, and journey mapping specific to the Spain Madrid market and target audience.</w:t>
            </w:r>
          </w:p>
        </w:tc>
        <w:tc>
          <w:tcPr/>
          <w:p>
            <w:pPr>
              <w:pStyle w:val="Compact"/>
              <w:jc w:val="left"/>
            </w:pPr>
            <w:r>
              <w:t xml:space="preserve">2 weeks</w:t>
            </w:r>
          </w:p>
        </w:tc>
        <w:tc>
          <w:tcPr/>
          <w:p>
            <w:pPr>
              <w:pStyle w:val="Compact"/>
              <w:jc w:val="left"/>
            </w:pPr>
            <w:r>
              <w:t xml:space="preserve">1,200 / day</w:t>
            </w:r>
          </w:p>
        </w:tc>
        <w:tc>
          <w:tcPr/>
          <w:p>
            <w:pPr>
              <w:pStyle w:val="Compact"/>
              <w:jc w:val="left"/>
            </w:pPr>
            <w:r>
              <w:t xml:space="preserve">12,000.00</w:t>
            </w:r>
          </w:p>
        </w:tc>
      </w:tr>
      <w:tr>
        <w:tc>
          <w:tcPr/>
          <w:p>
            <w:pPr>
              <w:pStyle w:val="Compact"/>
              <w:jc w:val="left"/>
            </w:pPr>
            <w:r>
              <w:t xml:space="preserve">02</w:t>
            </w:r>
          </w:p>
        </w:tc>
        <w:tc>
          <w:tcPr/>
          <w:p>
            <w:pPr>
              <w:pStyle w:val="Compact"/>
              <w:jc w:val="left"/>
            </w:pPr>
            <w:r>
              <w:t xml:space="preserve">Information Architecture &amp; Wireframing</w:t>
            </w:r>
          </w:p>
        </w:tc>
        <w:tc>
          <w:tcPr/>
          <w:p>
            <w:pPr>
              <w:pStyle w:val="Compact"/>
              <w:jc w:val="left"/>
            </w:pPr>
            <w:r>
              <w:t xml:space="preserve">Sitemap creation, low-fidelity wireframes, and content hierarchy planning for all key screens and user flows.</w:t>
            </w:r>
          </w:p>
        </w:tc>
        <w:tc>
          <w:tcPr/>
          <w:p>
            <w:pPr>
              <w:pStyle w:val="Compact"/>
              <w:jc w:val="left"/>
            </w:pPr>
            <w:r>
              <w:t xml:space="preserve">3 weeks</w:t>
            </w:r>
          </w:p>
        </w:tc>
        <w:tc>
          <w:tcPr/>
          <w:p>
            <w:pPr>
              <w:pStyle w:val="Compact"/>
              <w:jc w:val="left"/>
            </w:pPr>
            <w:r>
              <w:t xml:space="preserve">1,200 / day</w:t>
            </w:r>
          </w:p>
        </w:tc>
        <w:tc>
          <w:tcPr/>
          <w:p>
            <w:pPr>
              <w:pStyle w:val="Compact"/>
              <w:jc w:val="left"/>
            </w:pPr>
            <w:r>
              <w:t xml:space="preserve">18,000.00</w:t>
            </w:r>
          </w:p>
        </w:tc>
      </w:tr>
      <w:tr>
        <w:tc>
          <w:tcPr/>
          <w:p>
            <w:pPr>
              <w:pStyle w:val="Compact"/>
              <w:jc w:val="left"/>
            </w:pPr>
            <w:r>
              <w:t xml:space="preserve">03</w:t>
            </w:r>
          </w:p>
        </w:tc>
        <w:tc>
          <w:tcPr/>
          <w:p>
            <w:pPr>
              <w:pStyle w:val="Compact"/>
              <w:jc w:val="left"/>
            </w:pPr>
            <w:r>
              <w:t xml:space="preserve">High-Fidelity UI Design</w:t>
            </w:r>
          </w:p>
        </w:tc>
        <w:tc>
          <w:tcPr/>
          <w:p>
            <w:pPr>
              <w:pStyle w:val="Compact"/>
              <w:jc w:val="left"/>
            </w:pPr>
            <w:r>
              <w:t xml:space="preserve">Pixel-perfect visual design, design system / component library creation, and responsive layouts for desktop, tablet, and mobile platforms.</w:t>
            </w:r>
          </w:p>
        </w:tc>
        <w:tc>
          <w:tcPr/>
          <w:p>
            <w:pPr>
              <w:pStyle w:val="Compact"/>
              <w:jc w:val="left"/>
            </w:pPr>
            <w:r>
              <w:t xml:space="preserve">4 weeks</w:t>
            </w:r>
          </w:p>
        </w:tc>
        <w:tc>
          <w:tcPr/>
          <w:p>
            <w:pPr>
              <w:pStyle w:val="Compact"/>
              <w:jc w:val="left"/>
            </w:pPr>
            <w:r>
              <w:t xml:space="preserve">1,200 / day</w:t>
            </w:r>
          </w:p>
        </w:tc>
        <w:tc>
          <w:tcPr/>
          <w:p>
            <w:pPr>
              <w:pStyle w:val="Compact"/>
              <w:jc w:val="left"/>
            </w:pPr>
            <w:r>
              <w:t xml:space="preserve">24,000.00</w:t>
            </w:r>
          </w:p>
        </w:tc>
      </w:tr>
      <w:tr>
        <w:tc>
          <w:tcPr/>
          <w:p>
            <w:pPr>
              <w:pStyle w:val="Compact"/>
              <w:jc w:val="left"/>
            </w:pPr>
            <w:r>
              <w:t xml:space="preserve">04</w:t>
            </w:r>
          </w:p>
        </w:tc>
        <w:tc>
          <w:tcPr/>
          <w:p>
            <w:pPr>
              <w:pStyle w:val="Compact"/>
              <w:jc w:val="left"/>
            </w:pPr>
            <w:r>
              <w:t xml:space="preserve">Interactive Prototyping &amp; Usability Testing</w:t>
            </w:r>
          </w:p>
        </w:tc>
        <w:tc>
          <w:tcPr/>
          <w:p>
            <w:pPr>
              <w:pStyle w:val="Compact"/>
              <w:jc w:val="left"/>
            </w:pPr>
            <w:r>
              <w:t xml:space="preserve">Clickable prototypes in Figma, moderated usability testing sessions with 8–12 participants recruited in Spain Madrid, and iterative refinement.</w:t>
            </w:r>
          </w:p>
        </w:tc>
        <w:tc>
          <w:tcPr/>
          <w:p>
            <w:pPr>
              <w:pStyle w:val="Compact"/>
              <w:jc w:val="left"/>
            </w:pPr>
            <w:r>
              <w:t xml:space="preserve">2 weeks</w:t>
            </w:r>
          </w:p>
        </w:tc>
        <w:tc>
          <w:tcPr/>
          <w:p>
            <w:pPr>
              <w:pStyle w:val="Compact"/>
              <w:jc w:val="left"/>
            </w:pPr>
            <w:r>
              <w:t xml:space="preserve">1,200 / day</w:t>
            </w:r>
          </w:p>
        </w:tc>
        <w:tc>
          <w:tcPr/>
          <w:p>
            <w:pPr>
              <w:pStyle w:val="Compact"/>
              <w:jc w:val="left"/>
            </w:pPr>
            <w:r>
              <w:t xml:space="preserve">12,000.00</w:t>
            </w:r>
          </w:p>
        </w:tc>
      </w:tr>
      <w:tr>
        <w:tc>
          <w:tcPr/>
          <w:p>
            <w:pPr>
              <w:pStyle w:val="Compact"/>
              <w:jc w:val="left"/>
            </w:pPr>
            <w:r>
              <w:t xml:space="preserve">05</w:t>
            </w:r>
          </w:p>
        </w:tc>
        <w:tc>
          <w:tcPr/>
          <w:p>
            <w:pPr>
              <w:pStyle w:val="Compact"/>
              <w:jc w:val="left"/>
            </w:pPr>
            <w:r>
              <w:t xml:space="preserve">Design Handoff &amp; Developer Support</w:t>
            </w:r>
          </w:p>
        </w:tc>
        <w:tc>
          <w:tcPr/>
          <w:p>
            <w:pPr>
              <w:pStyle w:val="Compact"/>
              <w:jc w:val="left"/>
            </w:pPr>
            <w:r>
              <w:t xml:space="preserve">Annotated design specifications, asset export, design token documentation, and two weeks of post-handoff support for the development team.</w:t>
            </w:r>
          </w:p>
        </w:tc>
        <w:tc>
          <w:tcPr/>
          <w:p>
            <w:pPr>
              <w:pStyle w:val="Compact"/>
              <w:jc w:val="left"/>
            </w:pPr>
            <w:r>
              <w:t xml:space="preserve">2 weeks</w:t>
            </w:r>
          </w:p>
        </w:tc>
        <w:tc>
          <w:tcPr/>
          <w:p>
            <w:pPr>
              <w:pStyle w:val="Compact"/>
              <w:jc w:val="left"/>
            </w:pPr>
            <w:r>
              <w:t xml:space="preserve">1,200 / day</w:t>
            </w:r>
          </w:p>
        </w:tc>
        <w:tc>
          <w:tcPr/>
          <w:p>
            <w:pPr>
              <w:pStyle w:val="Compact"/>
              <w:jc w:val="left"/>
            </w:pPr>
            <w:r>
              <w:t xml:space="preserve">12,000.00</w:t>
            </w:r>
          </w:p>
        </w:tc>
      </w:tr>
      <w:tr>
        <w:tc>
          <w:tcPr/>
          <w:p>
            <w:pPr>
              <w:pStyle w:val="Compact"/>
              <w:jc w:val="left"/>
            </w:pPr>
            <w:r>
              <w:t xml:space="preserve">06</w:t>
            </w:r>
          </w:p>
        </w:tc>
        <w:tc>
          <w:tcPr/>
          <w:p>
            <w:pPr>
              <w:pStyle w:val="Compact"/>
              <w:jc w:val="left"/>
            </w:pPr>
            <w:r>
              <w:t xml:space="preserve">Post-Launch Design Support</w:t>
            </w:r>
          </w:p>
        </w:tc>
        <w:tc>
          <w:tcPr/>
          <w:p>
            <w:pPr>
              <w:pStyle w:val="Compact"/>
              <w:jc w:val="left"/>
            </w:pPr>
            <w:r>
              <w:t xml:space="preserve">One month of ongoing UX UI Designer availability for minor revisions, A/B test design variations, and design QA.</w:t>
            </w:r>
          </w:p>
        </w:tc>
        <w:tc>
          <w:tcPr/>
          <w:p>
            <w:pPr>
              <w:pStyle w:val="Compact"/>
              <w:jc w:val="left"/>
            </w:pPr>
            <w:r>
              <w:t xml:space="preserve">1 month</w:t>
            </w:r>
          </w:p>
        </w:tc>
        <w:tc>
          <w:tcPr/>
          <w:p>
            <w:pPr>
              <w:pStyle w:val="Compact"/>
              <w:jc w:val="left"/>
            </w:pPr>
            <w:r>
              <w:t xml:space="preserve">4,500 / month</w:t>
            </w:r>
          </w:p>
        </w:tc>
        <w:tc>
          <w:tcPr/>
          <w:p>
            <w:pPr>
              <w:pStyle w:val="Compact"/>
              <w:jc w:val="left"/>
            </w:pPr>
            <w:r>
              <w:t xml:space="preserve">4,500.00</w:t>
            </w:r>
          </w:p>
        </w:tc>
      </w:tr>
      <w:tr>
        <w:tc>
          <w:tcPr>
            <w:gridSpan w:val="5"/>
          </w:tcPr>
          <w:p>
            <w:pPr>
              <w:pStyle w:val="Compact"/>
              <w:jc w:val="left"/>
            </w:pPr>
            <w:r>
              <w:t xml:space="preserve">Subtotal (excl. VAT)</w:t>
            </w:r>
          </w:p>
        </w:tc>
        <w:tc>
          <w:tcPr/>
          <w:p>
            <w:pPr>
              <w:pStyle w:val="Compact"/>
              <w:jc w:val="left"/>
            </w:pPr>
            <w:r>
              <w:t xml:space="preserve">82,500.00</w:t>
            </w:r>
          </w:p>
        </w:tc>
      </w:tr>
      <w:tr>
        <w:tc>
          <w:tcPr>
            <w:gridSpan w:val="5"/>
          </w:tcPr>
          <w:p>
            <w:pPr>
              <w:pStyle w:val="Compact"/>
              <w:jc w:val="left"/>
            </w:pPr>
            <w:r>
              <w:t xml:space="preserve">VAT / IVA (21%)</w:t>
            </w:r>
          </w:p>
        </w:tc>
        <w:tc>
          <w:tcPr/>
          <w:p>
            <w:pPr>
              <w:pStyle w:val="Compact"/>
              <w:jc w:val="left"/>
            </w:pPr>
            <w:r>
              <w:t xml:space="preserve">17,325.00</w:t>
            </w:r>
          </w:p>
        </w:tc>
      </w:tr>
      <w:tr>
        <w:tc>
          <w:tcPr>
            <w:gridSpan w:val="5"/>
          </w:tcPr>
          <w:p>
            <w:pPr>
              <w:pStyle w:val="Compact"/>
              <w:jc w:val="left"/>
            </w:pPr>
            <w:r>
              <w:t xml:space="preserve">Total Amount Due (incl. VAT)</w:t>
            </w:r>
          </w:p>
        </w:tc>
        <w:tc>
          <w:tcPr/>
          <w:p>
            <w:pPr>
              <w:pStyle w:val="Compact"/>
              <w:jc w:val="left"/>
            </w:pPr>
            <w:r>
              <w:t xml:space="preserve">99,825.00</w:t>
            </w:r>
          </w:p>
        </w:tc>
      </w:tr>
    </w:tbl>
    <w:bookmarkEnd w:id="24"/>
    <w:bookmarkStart w:id="25" w:name="payment-schedule"/>
    <w:p>
      <w:pPr>
        <w:pStyle w:val="Heading2"/>
      </w:pPr>
      <w:r>
        <w:t xml:space="preserve">3. Payment Schedule</w:t>
      </w:r>
    </w:p>
    <w:p>
      <w:pPr>
        <w:pStyle w:val="FirstParagraph"/>
      </w:pPr>
      <w:r>
        <w:t xml:space="preserve">In accordance with standard commercial practice in Spain Madrid, this Quotation Estimate proposes the following milestone-based payment structure:</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Milestone</w:t>
            </w:r>
          </w:p>
        </w:tc>
        <w:tc>
          <w:tcPr/>
          <w:p>
            <w:pPr>
              <w:pStyle w:val="Compact"/>
              <w:jc w:val="left"/>
            </w:pPr>
            <w:r>
              <w:t xml:space="preserve">Trigger</w:t>
            </w:r>
          </w:p>
        </w:tc>
        <w:tc>
          <w:tcPr/>
          <w:p>
            <w:pPr>
              <w:pStyle w:val="Compact"/>
              <w:jc w:val="left"/>
            </w:pPr>
            <w:r>
              <w:t xml:space="preserve">Percentage</w:t>
            </w:r>
          </w:p>
        </w:tc>
        <w:tc>
          <w:tcPr/>
          <w:p>
            <w:pPr>
              <w:pStyle w:val="Compact"/>
              <w:jc w:val="left"/>
            </w:pPr>
            <w:r>
              <w:t xml:space="preserve">Amount (EUR, incl. VAT)</w:t>
            </w:r>
          </w:p>
        </w:tc>
      </w:tr>
      <w:tr>
        <w:tc>
          <w:tcPr/>
          <w:p>
            <w:pPr>
              <w:pStyle w:val="Compact"/>
              <w:jc w:val="left"/>
            </w:pPr>
            <w:r>
              <w:t xml:space="preserve">Advance Payment</w:t>
            </w:r>
          </w:p>
        </w:tc>
        <w:tc>
          <w:tcPr/>
          <w:p>
            <w:pPr>
              <w:pStyle w:val="Compact"/>
              <w:jc w:val="left"/>
            </w:pPr>
            <w:r>
              <w:t xml:space="preserve">Upon signed acceptance of this Quotation Estimate</w:t>
            </w:r>
          </w:p>
        </w:tc>
        <w:tc>
          <w:tcPr/>
          <w:p>
            <w:pPr>
              <w:pStyle w:val="Compact"/>
              <w:jc w:val="left"/>
            </w:pPr>
            <w:r>
              <w:t xml:space="preserve">30%</w:t>
            </w:r>
          </w:p>
        </w:tc>
        <w:tc>
          <w:tcPr/>
          <w:p>
            <w:pPr>
              <w:pStyle w:val="Compact"/>
              <w:jc w:val="left"/>
            </w:pPr>
            <w:r>
              <w:t xml:space="preserve">29,947.50</w:t>
            </w:r>
          </w:p>
        </w:tc>
      </w:tr>
      <w:tr>
        <w:tc>
          <w:tcPr/>
          <w:p>
            <w:pPr>
              <w:pStyle w:val="Compact"/>
              <w:jc w:val="left"/>
            </w:pPr>
            <w:r>
              <w:t xml:space="preserve">Milestone 1</w:t>
            </w:r>
          </w:p>
        </w:tc>
        <w:tc>
          <w:tcPr/>
          <w:p>
            <w:pPr>
              <w:pStyle w:val="Compact"/>
              <w:jc w:val="left"/>
            </w:pPr>
            <w:r>
              <w:t xml:space="preserve">Delivery of wireframes and IA approval</w:t>
            </w:r>
          </w:p>
        </w:tc>
        <w:tc>
          <w:tcPr/>
          <w:p>
            <w:pPr>
              <w:pStyle w:val="Compact"/>
              <w:jc w:val="left"/>
            </w:pPr>
            <w:r>
              <w:t xml:space="preserve">25%</w:t>
            </w:r>
          </w:p>
        </w:tc>
        <w:tc>
          <w:tcPr/>
          <w:p>
            <w:pPr>
              <w:pStyle w:val="Compact"/>
              <w:jc w:val="left"/>
            </w:pPr>
            <w:r>
              <w:t xml:space="preserve">24,956.25</w:t>
            </w:r>
          </w:p>
        </w:tc>
      </w:tr>
      <w:tr>
        <w:tc>
          <w:tcPr/>
          <w:p>
            <w:pPr>
              <w:pStyle w:val="Compact"/>
              <w:jc w:val="left"/>
            </w:pPr>
            <w:r>
              <w:t xml:space="preserve">Milestone 2</w:t>
            </w:r>
          </w:p>
        </w:tc>
        <w:tc>
          <w:tcPr/>
          <w:p>
            <w:pPr>
              <w:pStyle w:val="Compact"/>
              <w:jc w:val="left"/>
            </w:pPr>
            <w:r>
              <w:t xml:space="preserve">Delivery of high-fidelity UI and prototype approval</w:t>
            </w:r>
          </w:p>
        </w:tc>
        <w:tc>
          <w:tcPr/>
          <w:p>
            <w:pPr>
              <w:pStyle w:val="Compact"/>
              <w:jc w:val="left"/>
            </w:pPr>
            <w:r>
              <w:t xml:space="preserve">25%</w:t>
            </w:r>
          </w:p>
        </w:tc>
        <w:tc>
          <w:tcPr/>
          <w:p>
            <w:pPr>
              <w:pStyle w:val="Compact"/>
              <w:jc w:val="left"/>
            </w:pPr>
            <w:r>
              <w:t xml:space="preserve">24,956.25</w:t>
            </w:r>
          </w:p>
        </w:tc>
      </w:tr>
      <w:tr>
        <w:tc>
          <w:tcPr/>
          <w:p>
            <w:pPr>
              <w:pStyle w:val="Compact"/>
              <w:jc w:val="left"/>
            </w:pPr>
            <w:r>
              <w:t xml:space="preserve">Final Payment</w:t>
            </w:r>
          </w:p>
        </w:tc>
        <w:tc>
          <w:tcPr/>
          <w:p>
            <w:pPr>
              <w:pStyle w:val="Compact"/>
              <w:jc w:val="left"/>
            </w:pPr>
            <w:r>
              <w:t xml:space="preserve">Completion of design handoff and post-launch support</w:t>
            </w:r>
          </w:p>
        </w:tc>
        <w:tc>
          <w:tcPr/>
          <w:p>
            <w:pPr>
              <w:pStyle w:val="Compact"/>
              <w:jc w:val="left"/>
            </w:pPr>
            <w:r>
              <w:t xml:space="preserve">20%</w:t>
            </w:r>
          </w:p>
        </w:tc>
        <w:tc>
          <w:tcPr/>
          <w:p>
            <w:pPr>
              <w:pStyle w:val="Compact"/>
              <w:jc w:val="left"/>
            </w:pPr>
            <w:r>
              <w:t xml:space="preserve">19,965.00</w:t>
            </w:r>
          </w:p>
        </w:tc>
      </w:tr>
    </w:tbl>
    <w:bookmarkEnd w:id="25"/>
    <w:bookmarkStart w:id="26" w:name="terms-and-conditions"/>
    <w:p>
      <w:pPr>
        <w:pStyle w:val="Heading2"/>
      </w:pPr>
      <w:r>
        <w:t xml:space="preserve">4. Terms and Conditions</w:t>
      </w:r>
    </w:p>
    <w:p>
      <w:pPr>
        <w:numPr>
          <w:ilvl w:val="0"/>
          <w:numId w:val="1001"/>
        </w:numPr>
        <w:pStyle w:val="Compact"/>
      </w:pPr>
      <w:r>
        <w:t xml:space="preserve">This Quotation Estimate is a non-binding proposal and does not constitute a contractual obligation until a formal service agreement is executed by both parties.</w:t>
      </w:r>
    </w:p>
    <w:p>
      <w:pPr>
        <w:numPr>
          <w:ilvl w:val="0"/>
          <w:numId w:val="1001"/>
        </w:numPr>
        <w:pStyle w:val="Compact"/>
      </w:pPr>
      <w:r>
        <w:t xml:space="preserve">All work performed by the UX UI Designer shall be governed by Spanish intellectual property law (Ley de Propiedad Intelectual, RDL 1/1996). Upon full payment, all design deliverables and source files shall be transferred to the client.</w:t>
      </w:r>
    </w:p>
    <w:p>
      <w:pPr>
        <w:numPr>
          <w:ilvl w:val="0"/>
          <w:numId w:val="1001"/>
        </w:numPr>
        <w:pStyle w:val="Compact"/>
      </w:pPr>
      <w:r>
        <w:t xml:space="preserve">The UX UI Designer shall comply with all applicable data protection regulations, including the EU General Data Protection Regulation (GDPR) and the Spanish Organic Law 3/2018 (LOPDGDD), particularly during user research and testing phases conducted in Spain Madrid.</w:t>
      </w:r>
    </w:p>
    <w:p>
      <w:pPr>
        <w:numPr>
          <w:ilvl w:val="0"/>
          <w:numId w:val="1001"/>
        </w:numPr>
        <w:pStyle w:val="Compact"/>
      </w:pPr>
      <w:r>
        <w:t xml:space="preserve">Any changes to the agreed scope of work beyond 10% of the original estimate will require a written change order and may result in an amended Quotation Estimate.</w:t>
      </w:r>
    </w:p>
    <w:p>
      <w:pPr>
        <w:numPr>
          <w:ilvl w:val="0"/>
          <w:numId w:val="1001"/>
        </w:numPr>
        <w:pStyle w:val="Compact"/>
      </w:pPr>
      <w:r>
        <w:t xml:space="preserve">Payment terms are net 30 days from the date of each invoice. Late payments shall accrue interest at the rate established by the Spanish Law on Late Payment in Commercial Transactions (Ley 3/2004).</w:t>
      </w:r>
    </w:p>
    <w:p>
      <w:pPr>
        <w:numPr>
          <w:ilvl w:val="0"/>
          <w:numId w:val="1001"/>
        </w:numPr>
        <w:pStyle w:val="Compact"/>
      </w:pPr>
      <w:r>
        <w:t xml:space="preserve">This Quotation Estimate is valid for 30 days from the date of issue. After this period, rates and availability of the UX UI Designer may be subject to change.</w:t>
      </w:r>
    </w:p>
    <w:p>
      <w:pPr>
        <w:numPr>
          <w:ilvl w:val="0"/>
          <w:numId w:val="1001"/>
        </w:numPr>
        <w:pStyle w:val="Compact"/>
      </w:pPr>
      <w:r>
        <w:t xml:space="preserve">Disputes arising from this engagement shall be resolved through the courts of Madrid, Spain, in accordance with Spanish civil and commercial law.</w:t>
      </w:r>
    </w:p>
    <w:p>
      <w:pPr>
        <w:numPr>
          <w:ilvl w:val="0"/>
          <w:numId w:val="1001"/>
        </w:numPr>
        <w:pStyle w:val="Compact"/>
      </w:pPr>
      <w:r>
        <w:t xml:space="preserve">The UX UI Designer reserves the right to use anonymised project outcomes in their professional portfolio, subject to the client’s prior written consent.</w:t>
      </w:r>
    </w:p>
    <w:bookmarkEnd w:id="26"/>
    <w:bookmarkStart w:id="27" w:name="acceptance"/>
    <w:p>
      <w:pPr>
        <w:pStyle w:val="Heading2"/>
      </w:pPr>
      <w:r>
        <w:t xml:space="preserve">5. Acceptance</w:t>
      </w:r>
    </w:p>
    <w:p>
      <w:pPr>
        <w:pStyle w:val="FirstParagraph"/>
      </w:pPr>
      <w:r>
        <w:t xml:space="preserve">By signing below, the client acknowledges receipt of this Quotation Estimate and agrees to the terms, scope, and pricing outlined herein for the UX UI Designer services to be delivered in Spain Madrid.</w:t>
      </w:r>
    </w:p>
    <w:p>
      <w:pPr>
        <w:pStyle w:val="BodyText"/>
      </w:pPr>
      <w:r>
        <w:rPr>
          <w:bCs/>
          <w:b/>
        </w:rPr>
        <w:t xml:space="preserve">For PixelCraft Digital Studio</w:t>
      </w:r>
    </w:p>
    <w:p>
      <w:pPr>
        <w:pStyle w:val="BodyText"/>
      </w:pPr>
      <w:r>
        <w:t xml:space="preserve">Name: Laura García</w:t>
      </w:r>
    </w:p>
    <w:p>
      <w:pPr>
        <w:pStyle w:val="BodyText"/>
      </w:pPr>
      <w:r>
        <w:t xml:space="preserve">Title: Senior UX UI Designer / Lead</w:t>
      </w:r>
    </w:p>
    <w:p>
      <w:pPr>
        <w:pStyle w:val="BodyText"/>
      </w:pPr>
      <w:r>
        <w:t xml:space="preserve">Signature: _________________________</w:t>
      </w:r>
    </w:p>
    <w:p>
      <w:pPr>
        <w:pStyle w:val="BodyText"/>
      </w:pPr>
      <w:r>
        <w:t xml:space="preserve">Date: _________________________</w:t>
      </w:r>
    </w:p>
    <w:p>
      <w:pPr>
        <w:pStyle w:val="BodyText"/>
      </w:pPr>
      <w:r>
        <w:rPr>
          <w:bCs/>
          <w:b/>
        </w:rPr>
        <w:t xml:space="preserve">For the Client</w:t>
      </w:r>
    </w:p>
    <w:p>
      <w:pPr>
        <w:pStyle w:val="BodyText"/>
      </w:pPr>
      <w:r>
        <w:t xml:space="preserve">Name: _________________________</w:t>
      </w:r>
    </w:p>
    <w:p>
      <w:pPr>
        <w:pStyle w:val="BodyText"/>
      </w:pPr>
      <w:r>
        <w:t xml:space="preserve">Title: _________________________</w:t>
      </w:r>
    </w:p>
    <w:p>
      <w:pPr>
        <w:pStyle w:val="BodyText"/>
      </w:pPr>
      <w:r>
        <w:t xml:space="preserve">Signature: _________________________</w:t>
      </w:r>
    </w:p>
    <w:p>
      <w:pPr>
        <w:pStyle w:val="BodyText"/>
      </w:pPr>
      <w:r>
        <w:t xml:space="preserve">Date: _________________________</w:t>
      </w:r>
    </w:p>
    <w:p>
      <w:pPr>
        <w:pStyle w:val="BodyText"/>
      </w:pPr>
      <w:r>
        <w:t xml:space="preserve">Quotation Estimate No. QTE-2025-0047 — PixelCraft Digital Studio — Spain Madrid</w:t>
      </w:r>
    </w:p>
    <w:p>
      <w:pPr>
        <w:pStyle w:val="BodyText"/>
      </w:pPr>
      <w:r>
        <w:t xml:space="preserve">This document is generated electronically and is valid without a physical seal. For queries regarding this Quotation Estimate, please contact quotes@pixelcraftmadrid.es.</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UX UI Designer Services - Spain Madrid</dc:title>
  <dc:creator/>
  <dc:language>en</dc:language>
  <cp:keywords/>
  <dcterms:created xsi:type="dcterms:W3CDTF">2026-10-10T06:10:56Z</dcterms:created>
  <dcterms:modified xsi:type="dcterms:W3CDTF">2026-10-10T06:10:56Z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