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UX UI Designer Services — Turkey Istanbul</w:t>
      </w:r>
    </w:p>
    <w:p>
      <w:pPr>
        <w:pStyle w:val="BodyText"/>
      </w:pPr>
      <w:r>
        <w:t xml:space="preserve">Document Ref: QE-TR-IST-2025-0472</w:t>
      </w:r>
    </w:p>
    <w:bookmarkEnd w:id="20"/>
    <w:bookmarkStart w:id="21" w:name="prepared-by"/>
    <w:p>
      <w:pPr>
        <w:pStyle w:val="Heading3"/>
      </w:pPr>
      <w:r>
        <w:t xml:space="preserve">Prepared By</w:t>
      </w:r>
    </w:p>
    <w:p>
      <w:pPr>
        <w:pStyle w:val="FirstParagraph"/>
      </w:pPr>
      <w:r>
        <w:rPr>
          <w:bCs/>
          <w:b/>
        </w:rPr>
        <w:t xml:space="preserve">Company:</w:t>
      </w:r>
      <w:r>
        <w:t xml:space="preserve"> </w:t>
      </w:r>
      <w:r>
        <w:t xml:space="preserve">PixelCraft Digital Studio</w:t>
      </w:r>
    </w:p>
    <w:p>
      <w:pPr>
        <w:pStyle w:val="BodyText"/>
      </w:pPr>
      <w:r>
        <w:rPr>
          <w:bCs/>
          <w:b/>
        </w:rPr>
        <w:t xml:space="preserve">Address:</w:t>
      </w:r>
      <w:r>
        <w:t xml:space="preserve"> </w:t>
      </w:r>
      <w:r>
        <w:t xml:space="preserve">Levent Avenue, No. 142, 34330 Çankaya, Istanbul, Turkey</w:t>
      </w:r>
    </w:p>
    <w:p>
      <w:pPr>
        <w:pStyle w:val="BodyText"/>
      </w:pPr>
      <w:r>
        <w:rPr>
          <w:bCs/>
          <w:b/>
        </w:rPr>
        <w:t xml:space="preserve">Contact:</w:t>
      </w:r>
      <w:r>
        <w:t xml:space="preserve"> </w:t>
      </w:r>
      <w:r>
        <w:t xml:space="preserve">info@pixelcraftdigital.com.tr</w:t>
      </w:r>
    </w:p>
    <w:p>
      <w:pPr>
        <w:pStyle w:val="BodyText"/>
      </w:pPr>
      <w:r>
        <w:rPr>
          <w:bCs/>
          <w:b/>
        </w:rPr>
        <w:t xml:space="preserve">Phone:</w:t>
      </w:r>
      <w:r>
        <w:t xml:space="preserve"> </w:t>
      </w:r>
      <w:r>
        <w:t xml:space="preserve">+90 212 555 0147</w:t>
      </w:r>
    </w:p>
    <w:p>
      <w:pPr>
        <w:pStyle w:val="BodyText"/>
      </w:pPr>
      <w:r>
        <w:rPr>
          <w:bCs/>
          <w:b/>
        </w:rPr>
        <w:t xml:space="preserve">Tax ID (VKN):</w:t>
      </w:r>
      <w:r>
        <w:t xml:space="preserve"> </w:t>
      </w:r>
      <w:r>
        <w:t xml:space="preserve">1234567890</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Istanbul,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Turkish Lira (TRY) / USD</w:t>
      </w:r>
    </w:p>
    <w:p>
      <w:pPr>
        <w:pStyle w:val="BodyText"/>
      </w:pPr>
      <w:r>
        <w:rPr>
          <w:bCs/>
          <w:b/>
        </w:rPr>
        <w:t xml:space="preserve">Project Location:</w:t>
      </w:r>
      <w:r>
        <w:t xml:space="preserve"> </w:t>
      </w:r>
      <w:r>
        <w:t xml:space="preserve">Turkey Istanbul</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Enterprise Digital Platform Redesign</w:t>
      </w:r>
    </w:p>
    <w:p>
      <w:pPr>
        <w:pStyle w:val="BodyText"/>
      </w:pPr>
      <w:r>
        <w:rPr>
          <w:bCs/>
          <w:b/>
        </w:rPr>
        <w:t xml:space="preserve">Service Category:</w:t>
      </w:r>
      <w:r>
        <w:t xml:space="preserve"> </w:t>
      </w:r>
      <w:r>
        <w:t xml:space="preserve">UX UI Designer Engagement</w:t>
      </w:r>
    </w:p>
    <w:p>
      <w:pPr>
        <w:pStyle w:val="BodyText"/>
      </w:pPr>
      <w:r>
        <w:rPr>
          <w:bCs/>
          <w:b/>
        </w:rPr>
        <w:t xml:space="preserve">Estimated Duration:</w:t>
      </w:r>
      <w:r>
        <w:t xml:space="preserve"> </w:t>
      </w:r>
      <w:r>
        <w:t xml:space="preserve">12 Weeks</w:t>
      </w:r>
    </w:p>
    <w:p>
      <w:pPr>
        <w:pStyle w:val="BodyText"/>
      </w:pPr>
      <w:r>
        <w:rPr>
          <w:bCs/>
          <w:b/>
        </w:rPr>
        <w:t xml:space="preserve">Delivery Mode:</w:t>
      </w:r>
      <w:r>
        <w:t xml:space="preserve"> </w:t>
      </w:r>
      <w:r>
        <w:t xml:space="preserve">On-site (Istanbul) + Remote Hybrid</w:t>
      </w:r>
    </w:p>
    <w:bookmarkEnd w:id="24"/>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issued by PixelCraft Digital Studio to provide a comprehensive and transparent cost breakdown for the engagement of a senior</w:t>
      </w:r>
      <w:r>
        <w:t xml:space="preserve"> </w:t>
      </w:r>
      <w:r>
        <w:t xml:space="preserve">UX UI Designer</w:t>
      </w:r>
      <w:r>
        <w:t xml:space="preserve"> </w:t>
      </w:r>
      <w:r>
        <w:t xml:space="preserve">to deliver end-to-end user experience and user interface design services for the client's enterprise digital platform. All services described herein will be executed primarily in</w:t>
      </w:r>
      <w:r>
        <w:t xml:space="preserve"> </w:t>
      </w:r>
      <w:r>
        <w:t xml:space="preserve">Turkey Istanbul</w:t>
      </w:r>
      <w:r>
        <w:t xml:space="preserve">, leveraging the region's growing digital ecosystem, competitive talent pool, and strategic geographic position bridging European and Asian markets. This Quotation Estimate covers the full project lifecycle from initial discovery workshops through final design handoff and post-launch support.</w:t>
      </w:r>
    </w:p>
    <w:p>
      <w:pPr>
        <w:pStyle w:val="BodyText"/>
      </w:pPr>
      <w:r>
        <w:t xml:space="preserve">2. Scope of Work &amp; Detailed Line Items</w:t>
      </w:r>
    </w:p>
    <w:p>
      <w:pPr>
        <w:pStyle w:val="BodyText"/>
      </w:pPr>
      <w:r>
        <w:t xml:space="preserve">The following table outlines the specific deliverables, estimated hours, and associated costs for the UX UI Designer engagement in Turkey Istanbul. All pricing reflects the current market rates for specialized design professionals operating in the Istanbul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(TRY/hr)</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UX Research &amp; Discovery Workshop</w:t>
            </w:r>
          </w:p>
        </w:tc>
        <w:tc>
          <w:tcPr/>
          <w:p>
            <w:pPr>
              <w:pStyle w:val="Compact"/>
              <w:jc w:val="left"/>
            </w:pPr>
            <w:r>
              <w:t xml:space="preserve">User interviews, competitive analysis, stakeholder alignment sessions conducted in Istanbul office</w:t>
            </w:r>
          </w:p>
        </w:tc>
        <w:tc>
          <w:tcPr/>
          <w:p>
            <w:pPr>
              <w:pStyle w:val="Compact"/>
              <w:jc w:val="left"/>
            </w:pPr>
            <w:r>
              <w:t xml:space="preserve">40</w:t>
            </w:r>
          </w:p>
        </w:tc>
        <w:tc>
          <w:tcPr/>
          <w:p>
            <w:pPr>
              <w:pStyle w:val="Compact"/>
              <w:jc w:val="left"/>
            </w:pPr>
            <w:r>
              <w:t xml:space="preserve">1,800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Information Architecture &amp; User Flows</w:t>
            </w:r>
          </w:p>
        </w:tc>
        <w:tc>
          <w:tcPr/>
          <w:p>
            <w:pPr>
              <w:pStyle w:val="Compact"/>
              <w:jc w:val="left"/>
            </w:pPr>
            <w:r>
              <w:t xml:space="preserve">Sitemap development, journey mapping, wireframe prototyping for all core modules</w:t>
            </w:r>
          </w:p>
        </w:tc>
        <w:tc>
          <w:tcPr/>
          <w:p>
            <w:pPr>
              <w:pStyle w:val="Compact"/>
              <w:jc w:val="left"/>
            </w:pPr>
            <w:r>
              <w:t xml:space="preserve">60</w:t>
            </w:r>
          </w:p>
        </w:tc>
        <w:tc>
          <w:tcPr/>
          <w:p>
            <w:pPr>
              <w:pStyle w:val="Compact"/>
              <w:jc w:val="left"/>
            </w:pPr>
            <w:r>
              <w:t xml:space="preserve">1,800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UI Design &amp; Visual Identity System</w:t>
            </w:r>
          </w:p>
        </w:tc>
        <w:tc>
          <w:tcPr/>
          <w:p>
            <w:pPr>
              <w:pStyle w:val="Compact"/>
              <w:jc w:val="left"/>
            </w:pPr>
            <w:r>
              <w:t xml:space="preserve">High-fidelity mockups, design system creation, component library in Figma</w:t>
            </w:r>
          </w:p>
        </w:tc>
        <w:tc>
          <w:tcPr/>
          <w:p>
            <w:pPr>
              <w:pStyle w:val="Compact"/>
              <w:jc w:val="left"/>
            </w:pPr>
            <w:r>
              <w:t xml:space="preserve">80</w:t>
            </w:r>
          </w:p>
        </w:tc>
        <w:tc>
          <w:tcPr/>
          <w:p>
            <w:pPr>
              <w:pStyle w:val="Compact"/>
              <w:jc w:val="left"/>
            </w:pPr>
            <w:r>
              <w:t xml:space="preserve">2,000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Interactive Prototyping &amp; Usability Testing</w:t>
            </w:r>
          </w:p>
        </w:tc>
        <w:tc>
          <w:tcPr/>
          <w:p>
            <w:pPr>
              <w:pStyle w:val="Compact"/>
              <w:jc w:val="left"/>
            </w:pPr>
            <w:r>
              <w:t xml:space="preserve">Clickable prototypes, moderated usability sessions with 8–12 participants in Turkey Istanbul</w:t>
            </w:r>
          </w:p>
        </w:tc>
        <w:tc>
          <w:tcPr/>
          <w:p>
            <w:pPr>
              <w:pStyle w:val="Compact"/>
              <w:jc w:val="left"/>
            </w:pPr>
            <w:r>
              <w:t xml:space="preserve">48</w:t>
            </w:r>
          </w:p>
        </w:tc>
        <w:tc>
          <w:tcPr/>
          <w:p>
            <w:pPr>
              <w:pStyle w:val="Compact"/>
              <w:jc w:val="left"/>
            </w:pPr>
            <w:r>
              <w:t xml:space="preserve">2,000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Design Handoff &amp; Developer Collaboration</w:t>
            </w:r>
          </w:p>
        </w:tc>
        <w:tc>
          <w:tcPr/>
          <w:p>
            <w:pPr>
              <w:pStyle w:val="Compact"/>
              <w:jc w:val="left"/>
            </w:pPr>
            <w:r>
              <w:t xml:space="preserve">Annotated specs, asset export, sprint-based developer support (4 sprints)</w:t>
            </w:r>
          </w:p>
        </w:tc>
        <w:tc>
          <w:tcPr/>
          <w:p>
            <w:pPr>
              <w:pStyle w:val="Compact"/>
              <w:jc w:val="left"/>
            </w:pPr>
            <w:r>
              <w:t xml:space="preserve">32</w:t>
            </w:r>
          </w:p>
        </w:tc>
        <w:tc>
          <w:tcPr/>
          <w:p>
            <w:pPr>
              <w:pStyle w:val="Compact"/>
              <w:jc w:val="left"/>
            </w:pPr>
            <w:r>
              <w:t xml:space="preserve">1,800</w:t>
            </w:r>
          </w:p>
        </w:tc>
        <w:tc>
          <w:tcPr/>
          <w:p>
            <w:pPr>
              <w:pStyle w:val="Compact"/>
              <w:jc w:val="left"/>
            </w:pPr>
            <w:r>
              <w:t xml:space="preserve">57,600.00</w:t>
            </w:r>
          </w:p>
        </w:tc>
      </w:tr>
      <w:tr>
        <w:tc>
          <w:tcPr/>
          <w:p>
            <w:pPr>
              <w:pStyle w:val="Compact"/>
              <w:jc w:val="left"/>
            </w:pPr>
            <w:r>
              <w:t xml:space="preserve">6</w:t>
            </w:r>
          </w:p>
        </w:tc>
        <w:tc>
          <w:tcPr/>
          <w:p>
            <w:pPr>
              <w:pStyle w:val="Compact"/>
              <w:jc w:val="left"/>
            </w:pPr>
            <w:r>
              <w:t xml:space="preserve">Post-Launch UX Audit &amp; Iteration</w:t>
            </w:r>
          </w:p>
        </w:tc>
        <w:tc>
          <w:tcPr/>
          <w:p>
            <w:pPr>
              <w:pStyle w:val="Compact"/>
              <w:jc w:val="left"/>
            </w:pPr>
            <w:r>
              <w:t xml:space="preserve">Analytics review, A/B test design, two rounds of iterative refinement</w:t>
            </w:r>
          </w:p>
        </w:tc>
        <w:tc>
          <w:tcPr/>
          <w:p>
            <w:pPr>
              <w:pStyle w:val="Compact"/>
              <w:jc w:val="left"/>
            </w:pPr>
            <w:r>
              <w:t xml:space="preserve">24</w:t>
            </w:r>
          </w:p>
        </w:tc>
        <w:tc>
          <w:tcPr/>
          <w:p>
            <w:pPr>
              <w:pStyle w:val="Compact"/>
              <w:jc w:val="left"/>
            </w:pPr>
            <w:r>
              <w:t xml:space="preserve">2,000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Project Management &amp; Coordination</w:t>
            </w:r>
          </w:p>
        </w:tc>
        <w:tc>
          <w:tcPr/>
          <w:p>
            <w:pPr>
              <w:pStyle w:val="Compact"/>
              <w:jc w:val="left"/>
            </w:pPr>
            <w:r>
              <w:t xml:space="preserve">Weekly standups, progress reporting, scope management (on-site in Istanbul)</w:t>
            </w:r>
          </w:p>
        </w:tc>
        <w:tc>
          <w:tcPr/>
          <w:p>
            <w:pPr>
              <w:pStyle w:val="Compact"/>
              <w:jc w:val="left"/>
            </w:pPr>
            <w:r>
              <w:t xml:space="preserve">36</w:t>
            </w:r>
          </w:p>
        </w:tc>
        <w:tc>
          <w:tcPr/>
          <w:p>
            <w:pPr>
              <w:pStyle w:val="Compact"/>
              <w:jc w:val="left"/>
            </w:pPr>
            <w:r>
              <w:t xml:space="preserve">1,500</w:t>
            </w:r>
          </w:p>
        </w:tc>
        <w:tc>
          <w:tcPr/>
          <w:p>
            <w:pPr>
              <w:pStyle w:val="Compact"/>
              <w:jc w:val="left"/>
            </w:pPr>
            <w:r>
              <w:t xml:space="preserve">54,000.00</w:t>
            </w:r>
          </w:p>
        </w:tc>
      </w:tr>
      <w:tr>
        <w:tc>
          <w:tcPr>
            <w:gridSpan w:val="4"/>
          </w:tcPr>
          <w:p>
            <w:pPr>
              <w:pStyle w:val="Compact"/>
              <w:jc w:val="left"/>
            </w:pPr>
            <w:r>
              <w:rPr>
                <w:bCs/>
                <w:b/>
              </w:rPr>
              <w:t xml:space="preserve">TOTAL ESTIMATED COST</w:t>
            </w:r>
          </w:p>
        </w:tc>
        <w:tc>
          <w:tcPr/>
          <w:p>
            <w:pPr>
              <w:pStyle w:val="Compact"/>
              <w:jc w:val="left"/>
            </w:pPr>
            <w:r>
              <w:rPr>
                <w:bCs/>
                <w:b/>
              </w:rPr>
              <w:t xml:space="preserve">320 hrs</w:t>
            </w:r>
          </w:p>
        </w:tc>
        <w:tc>
          <w:tcPr/>
          <w:p>
            <w:pPr>
              <w:pStyle w:val="Compact"/>
              <w:jc w:val="left"/>
            </w:pPr>
            <w:r>
              <w:rPr>
                <w:bCs/>
                <w:b/>
              </w:rPr>
              <w:t xml:space="preserve">596,200.00 TRY</w:t>
            </w:r>
          </w:p>
        </w:tc>
      </w:tr>
    </w:tbl>
    <w:p>
      <w:pPr>
        <w:pStyle w:val="BodyText"/>
      </w:pPr>
      <w:r>
        <w:t xml:space="preserve">3. Additional Costs &amp; Assumptions</w:t>
      </w:r>
    </w:p>
    <w:p>
      <w:pPr>
        <w:numPr>
          <w:ilvl w:val="0"/>
          <w:numId w:val="1001"/>
        </w:numPr>
        <w:pStyle w:val="Compact"/>
      </w:pPr>
      <w:r>
        <w:t xml:space="preserve">Travel and accommodation costs for the UX UI Designer team within Turkey Istanbul (Levent, Maslak, or Kadçokçuk districts) are included in the above rates for on-site days.</w:t>
      </w:r>
    </w:p>
    <w:p>
      <w:pPr>
        <w:numPr>
          <w:ilvl w:val="0"/>
          <w:numId w:val="1001"/>
        </w:numPr>
        <w:pStyle w:val="Compact"/>
      </w:pPr>
      <w:r>
        <w:t xml:space="preserve">Software licensing (Figma Enterprise, Miro, Maze, Hotjar) is covered by PixelCraft Digital Studio and not billed separately.</w:t>
      </w:r>
    </w:p>
    <w:p>
      <w:pPr>
        <w:numPr>
          <w:ilvl w:val="0"/>
          <w:numId w:val="1001"/>
        </w:numPr>
        <w:pStyle w:val="Compact"/>
      </w:pPr>
      <w:r>
        <w:t xml:space="preserve">Any scope changes exceeding 10% of the original estimate will trigger a revised Quotation Estimate within 5 business days.</w:t>
      </w:r>
    </w:p>
    <w:p>
      <w:pPr>
        <w:numPr>
          <w:ilvl w:val="0"/>
          <w:numId w:val="1001"/>
        </w:numPr>
        <w:pStyle w:val="Compact"/>
      </w:pPr>
      <w:r>
        <w:t xml:space="preserve">VAT (KDV) at 20% is</w:t>
      </w:r>
      <w:r>
        <w:t xml:space="preserve"> </w:t>
      </w:r>
      <w:r>
        <w:rPr>
          <w:bCs/>
          <w:b/>
        </w:rPr>
        <w:t xml:space="preserve">not</w:t>
      </w:r>
      <w:r>
        <w:t xml:space="preserve"> </w:t>
      </w:r>
      <w:r>
        <w:t xml:space="preserve">included in the above figures and will be added at invoicing per Turkish tax regulations.</w:t>
      </w:r>
    </w:p>
    <w:p>
      <w:pPr>
        <w:numPr>
          <w:ilvl w:val="0"/>
          <w:numId w:val="1001"/>
        </w:numPr>
        <w:pStyle w:val="Compact"/>
      </w:pPr>
      <w:r>
        <w:t xml:space="preserve">Client is responsible for providing access to existing product data, brand assets, and internal stakeholders for all workshops held in Turkey Istanbul.</w:t>
      </w:r>
    </w:p>
    <w:p>
      <w:pPr>
        <w:pStyle w:val="FirstParagraph"/>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Timing</w:t>
            </w:r>
          </w:p>
        </w:tc>
        <w:tc>
          <w:tcPr/>
          <w:p>
            <w:pPr>
              <w:pStyle w:val="Compact"/>
              <w:jc w:val="left"/>
            </w:pPr>
            <w:r>
              <w:t xml:space="preserve">Percentage</w:t>
            </w:r>
          </w:p>
        </w:tc>
        <w:tc>
          <w:tcPr/>
          <w:p>
            <w:pPr>
              <w:pStyle w:val="Compact"/>
              <w:jc w:val="left"/>
            </w:pPr>
            <w:r>
              <w:t xml:space="preserve">Amount (TRY)</w:t>
            </w:r>
          </w:p>
        </w:tc>
      </w:tr>
      <w:tr>
        <w:tc>
          <w:tcPr/>
          <w:p>
            <w:pPr>
              <w:pStyle w:val="Compact"/>
              <w:jc w:val="left"/>
            </w:pPr>
            <w:r>
              <w:t xml:space="preserve">Contract Signing &amp; Kickoff</w:t>
            </w:r>
          </w:p>
        </w:tc>
        <w:tc>
          <w:tcPr/>
          <w:p>
            <w:pPr>
              <w:pStyle w:val="Compact"/>
              <w:jc w:val="left"/>
            </w:pPr>
            <w:r>
              <w:t xml:space="preserve">Week 0</w:t>
            </w:r>
          </w:p>
        </w:tc>
        <w:tc>
          <w:tcPr/>
          <w:p>
            <w:pPr>
              <w:pStyle w:val="Compact"/>
              <w:jc w:val="left"/>
            </w:pPr>
            <w:r>
              <w:t xml:space="preserve">30%</w:t>
            </w:r>
          </w:p>
        </w:tc>
        <w:tc>
          <w:tcPr/>
          <w:p>
            <w:pPr>
              <w:pStyle w:val="Compact"/>
              <w:jc w:val="left"/>
            </w:pPr>
            <w:r>
              <w:t xml:space="preserve">178,860.00</w:t>
            </w:r>
          </w:p>
        </w:tc>
      </w:tr>
      <w:tr>
        <w:tc>
          <w:tcPr/>
          <w:p>
            <w:pPr>
              <w:pStyle w:val="Compact"/>
              <w:jc w:val="left"/>
            </w:pPr>
            <w:r>
              <w:t xml:space="preserve">Wireframes &amp; IA Approval</w:t>
            </w:r>
          </w:p>
        </w:tc>
        <w:tc>
          <w:tcPr/>
          <w:p>
            <w:pPr>
              <w:pStyle w:val="Compact"/>
              <w:jc w:val="left"/>
            </w:pPr>
            <w:r>
              <w:t xml:space="preserve">Week 4</w:t>
            </w:r>
          </w:p>
        </w:tc>
        <w:tc>
          <w:tcPr/>
          <w:p>
            <w:pPr>
              <w:pStyle w:val="Compact"/>
              <w:jc w:val="left"/>
            </w:pPr>
            <w:r>
              <w:t xml:space="preserve">25%</w:t>
            </w:r>
          </w:p>
        </w:tc>
        <w:tc>
          <w:tcPr/>
          <w:p>
            <w:pPr>
              <w:pStyle w:val="Compact"/>
              <w:jc w:val="left"/>
            </w:pPr>
            <w:r>
              <w:t xml:space="preserve">149,050.00</w:t>
            </w:r>
          </w:p>
        </w:tc>
      </w:tr>
      <w:tr>
        <w:tc>
          <w:tcPr/>
          <w:p>
            <w:pPr>
              <w:pStyle w:val="Compact"/>
              <w:jc w:val="left"/>
            </w:pPr>
            <w:r>
              <w:t xml:space="preserve">UI Design &amp; Prototype Delivery</w:t>
            </w:r>
          </w:p>
        </w:tc>
        <w:tc>
          <w:tcPr/>
          <w:p>
            <w:pPr>
              <w:pStyle w:val="Compact"/>
              <w:jc w:val="left"/>
            </w:pPr>
            <w:r>
              <w:t xml:space="preserve">Week 8</w:t>
            </w:r>
          </w:p>
        </w:tc>
        <w:tc>
          <w:tcPr/>
          <w:p>
            <w:pPr>
              <w:pStyle w:val="Compact"/>
              <w:jc w:val="left"/>
            </w:pPr>
            <w:r>
              <w:t xml:space="preserve">25%</w:t>
            </w:r>
          </w:p>
        </w:tc>
        <w:tc>
          <w:tcPr/>
          <w:p>
            <w:pPr>
              <w:pStyle w:val="Compact"/>
              <w:jc w:val="left"/>
            </w:pPr>
            <w:r>
              <w:t xml:space="preserve">149,050.00</w:t>
            </w:r>
          </w:p>
        </w:tc>
      </w:tr>
      <w:tr>
        <w:tc>
          <w:tcPr/>
          <w:p>
            <w:pPr>
              <w:pStyle w:val="Compact"/>
              <w:jc w:val="left"/>
            </w:pPr>
            <w:r>
              <w:t xml:space="preserve">Final Handoff &amp; Post-Launch Support</w:t>
            </w:r>
          </w:p>
        </w:tc>
        <w:tc>
          <w:tcPr/>
          <w:p>
            <w:pPr>
              <w:pStyle w:val="Compact"/>
              <w:jc w:val="left"/>
            </w:pPr>
            <w:r>
              <w:t xml:space="preserve">Week 12</w:t>
            </w:r>
          </w:p>
        </w:tc>
        <w:tc>
          <w:tcPr/>
          <w:p>
            <w:pPr>
              <w:pStyle w:val="Compact"/>
              <w:jc w:val="left"/>
            </w:pPr>
            <w:r>
              <w:t xml:space="preserve">20%</w:t>
            </w:r>
          </w:p>
        </w:tc>
        <w:tc>
          <w:tcPr/>
          <w:p>
            <w:pPr>
              <w:pStyle w:val="Compact"/>
              <w:jc w:val="left"/>
            </w:pPr>
            <w:r>
              <w:t xml:space="preserve">119,240.00</w:t>
            </w:r>
          </w:p>
        </w:tc>
      </w:tr>
    </w:tbl>
    <w:p>
      <w:pPr>
        <w:pStyle w:val="BodyText"/>
      </w:pPr>
      <w:r>
        <w:t xml:space="preserve">5. Terms &amp; Conditions</w:t>
      </w:r>
    </w:p>
    <w:p>
      <w:pPr>
        <w:numPr>
          <w:ilvl w:val="0"/>
          <w:numId w:val="1002"/>
        </w:numPr>
        <w:pStyle w:val="Compact"/>
      </w:pPr>
      <w:r>
        <w:t xml:space="preserve">This Quotation Estimate is valid for 30 calendar days from the date of issue. After the validity period, rates may be adjusted to reflect current market conditions in Turkey Istanbul.</w:t>
      </w:r>
    </w:p>
    <w:p>
      <w:pPr>
        <w:numPr>
          <w:ilvl w:val="0"/>
          <w:numId w:val="1002"/>
        </w:numPr>
        <w:pStyle w:val="Compact"/>
      </w:pPr>
      <w:r>
        <w:t xml:space="preserve">The UX UI Designer engagement is governed by the Turkish Code of Obligations (Türkiye Bor&amp;ccedillar Kanunu) and applicable intellectual property laws of the Republic of Turkey.</w:t>
      </w:r>
    </w:p>
    <w:p>
      <w:pPr>
        <w:numPr>
          <w:ilvl w:val="0"/>
          <w:numId w:val="1002"/>
        </w:numPr>
        <w:pStyle w:val="Compact"/>
      </w:pPr>
      <w:r>
        <w:t xml:space="preserve">All design deliverables, source files, and documentation become the exclusive property of the client upon full payment of the final invoice.</w:t>
      </w:r>
    </w:p>
    <w:p>
      <w:pPr>
        <w:numPr>
          <w:ilvl w:val="0"/>
          <w:numId w:val="1002"/>
        </w:numPr>
        <w:pStyle w:val="Compact"/>
      </w:pPr>
      <w:r>
        <w:t xml:space="preserve">PixelCraft Digital Studio reserves the right to use anonymized project insights for internal portfolio purposes, subject to a mutual Non-Disclosure Agreement (NDA).</w:t>
      </w:r>
    </w:p>
    <w:p>
      <w:pPr>
        <w:numPr>
          <w:ilvl w:val="0"/>
          <w:numId w:val="1002"/>
        </w:numPr>
        <w:pStyle w:val="Compact"/>
      </w:pPr>
      <w:r>
        <w:t xml:space="preserve">Force majeure events, including but not limited to natural disasters, government-mandated closures, or public health emergencies affecting Turkey Istanbul, will pause the project timeline without penalty to either party.</w:t>
      </w:r>
    </w:p>
    <w:p>
      <w:pPr>
        <w:numPr>
          <w:ilvl w:val="0"/>
          <w:numId w:val="1002"/>
        </w:numPr>
        <w:pStyle w:val="Compact"/>
      </w:pPr>
      <w:r>
        <w:t xml:space="preserve">Disputes arising from this Quotation Estimate and the subsequent contract shall be resolved through arbitration in Istanbul, Turkey, in accordance with the rules of the Istanbul Arbitration Institute (ISTAC).</w:t>
      </w:r>
    </w:p>
    <w:p>
      <w:pPr>
        <w:numPr>
          <w:ilvl w:val="0"/>
          <w:numId w:val="1002"/>
        </w:numPr>
        <w:pStyle w:val="Compact"/>
      </w:pPr>
      <w:r>
        <w:t xml:space="preserve">Confidentiality obligations survive for a period of 24 months following project completion.</w:t>
      </w:r>
    </w:p>
    <w:p>
      <w:pPr>
        <w:numPr>
          <w:ilvl w:val="0"/>
          <w:numId w:val="1002"/>
        </w:numPr>
        <w:pStyle w:val="Compact"/>
      </w:pPr>
      <w:r>
        <w:t xml:space="preserve">This Quotation Estimate does not constitute a binding contract until both parties execute the formal Service Agreement.</w:t>
      </w:r>
    </w:p>
    <w:p>
      <w:pPr>
        <w:pStyle w:val="FirstParagraph"/>
      </w:pPr>
      <w:r>
        <w:t xml:space="preserve">6. Acceptance &amp; Authorization</w:t>
      </w:r>
    </w:p>
    <w:p>
      <w:pPr>
        <w:pStyle w:val="BodyText"/>
      </w:pPr>
      <w:r>
        <w:t xml:space="preserve">By signing below, both parties acknowledge that they have reviewed this Quotation Estimate in full and agree to proceed with the UX UI Designer engagement as described. This document serves as the foundational pricing reference for the project to be delivered in Turkey Istanbul.</w:t>
      </w:r>
    </w:p>
    <w:bookmarkStart w:id="25" w:name="for-pixelcraft-digital-studio"/>
    <w:p>
      <w:pPr>
        <w:pStyle w:val="Heading4"/>
      </w:pPr>
      <w:r>
        <w:t xml:space="preserve">For PixelCraft Digital Studio</w:t>
      </w:r>
    </w:p>
    <w:p>
      <w:pPr>
        <w:pStyle w:val="FirstParagraph"/>
      </w:pPr>
      <w:r>
        <w:t xml:space="preserve">Authorized Signatory</w:t>
      </w:r>
    </w:p>
    <w:p>
      <w:pPr>
        <w:pStyle w:val="BodyText"/>
      </w:pPr>
      <w:r>
        <w:t xml:space="preserve">Name / Title / Signature / Date</w:t>
      </w:r>
    </w:p>
    <w:bookmarkEnd w:id="25"/>
    <w:bookmarkStart w:id="26" w:name="for-client-company-name"/>
    <w:p>
      <w:pPr>
        <w:pStyle w:val="Heading4"/>
      </w:pPr>
      <w:r>
        <w:t xml:space="preserve">For [Client Company Name]</w:t>
      </w:r>
    </w:p>
    <w:p>
      <w:pPr>
        <w:pStyle w:val="FirstParagraph"/>
      </w:pPr>
      <w:r>
        <w:t xml:space="preserve">Authorized Signatory</w:t>
      </w:r>
    </w:p>
    <w:p>
      <w:pPr>
        <w:pStyle w:val="BodyText"/>
      </w:pPr>
      <w:r>
        <w:t xml:space="preserve">Name / Title / Signature / Date</w:t>
      </w:r>
    </w:p>
    <w:bookmarkEnd w:id="26"/>
    <w:p>
      <w:pPr>
        <w:pStyle w:val="BodyText"/>
      </w:pPr>
      <w:r>
        <w:t xml:space="preserve">Quotation Estimate QE-TR-IST-2025-0472 — PixelCraft Digital Studio — Istanbul, Turkey</w:t>
      </w:r>
    </w:p>
    <w:p>
      <w:pPr>
        <w:pStyle w:val="BodyText"/>
      </w:pPr>
      <w:r>
        <w:t xml:space="preserve">This document is confidential and intended solely for the named recipient. Unauthorized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Turkey Istanbul</dc:title>
  <dc:creator/>
  <dc:language>en</dc:language>
  <cp:keywords/>
  <dcterms:created xsi:type="dcterms:W3CDTF">2026-10-10T08:36:14Z</dcterms:created>
  <dcterms:modified xsi:type="dcterms:W3CDTF">2026-10-10T08:36:14Z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