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quotation-estimate"/>
    <w:p>
      <w:pPr>
        <w:pStyle w:val="Heading1"/>
      </w:pPr>
      <w:r>
        <w:t xml:space="preserve">Quotation Estimate</w:t>
      </w:r>
    </w:p>
    <w:p>
      <w:pPr>
        <w:pStyle w:val="FirstParagraph"/>
      </w:pPr>
      <w:r>
        <w:rPr>
          <w:bCs/>
          <w:b/>
        </w:rPr>
        <w:t xml:space="preserve">Nexus Digital Design Studio LLC</w:t>
      </w:r>
    </w:p>
    <w:p>
      <w:pPr>
        <w:pStyle w:val="BodyText"/>
      </w:pPr>
      <w:r>
        <w:t xml:space="preserve">Office 1204, Level 12, Al Bahr Tower, Corniche Road, United Arab Emirates Abu Dhabi</w:t>
      </w:r>
    </w:p>
    <w:p>
      <w:pPr>
        <w:pStyle w:val="BodyText"/>
      </w:pPr>
      <w:r>
        <w:t xml:space="preserve">Tel: +971 2 445 6789 | Email: estimates@nexusdigital.ae</w:t>
      </w:r>
    </w:p>
    <w:p>
      <w:pPr>
        <w:pStyle w:val="BodyText"/>
      </w:pPr>
      <w:r>
        <w:t xml:space="preserve">Trade License No: 1045872 | VAT No: 100458723000003</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QTE-2025-0784</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w:t>
            </w:r>
          </w:p>
        </w:tc>
      </w:tr>
      <w:tr>
        <w:tc>
          <w:tcPr/>
          <w:p>
            <w:pPr>
              <w:pStyle w:val="Compact"/>
              <w:jc w:val="left"/>
            </w:pPr>
            <w:r>
              <w:t xml:space="preserve">Prepared For:</w:t>
            </w:r>
          </w:p>
        </w:tc>
        <w:tc>
          <w:tcPr/>
          <w:p>
            <w:pPr>
              <w:pStyle w:val="Compact"/>
              <w:jc w:val="left"/>
            </w:pPr>
            <w:r>
              <w:t xml:space="preserve">Al Noor Financial Group, P.O. Box 4521, Khalifa City A, United Arab Emirates Abu Dhabi</w:t>
            </w:r>
          </w:p>
        </w:tc>
      </w:tr>
      <w:tr>
        <w:tc>
          <w:tcPr/>
          <w:p>
            <w:pPr>
              <w:pStyle w:val="Compact"/>
              <w:jc w:val="left"/>
            </w:pPr>
            <w:r>
              <w:t xml:space="preserve">Project Reference:</w:t>
            </w:r>
          </w:p>
        </w:tc>
        <w:tc>
          <w:tcPr/>
          <w:p>
            <w:pPr>
              <w:pStyle w:val="Compact"/>
              <w:jc w:val="left"/>
            </w:pPr>
            <w:r>
              <w:t xml:space="preserve">Digital Banking Platform Redesign – Phase 1</w:t>
            </w:r>
          </w:p>
        </w:tc>
      </w:tr>
      <w:tr>
        <w:tc>
          <w:tcPr/>
          <w:p>
            <w:pPr>
              <w:pStyle w:val="Compact"/>
              <w:jc w:val="left"/>
            </w:pPr>
            <w:r>
              <w:t xml:space="preserve">Service Category:</w:t>
            </w:r>
          </w:p>
        </w:tc>
        <w:tc>
          <w:tcPr/>
          <w:p>
            <w:pPr>
              <w:pStyle w:val="Compact"/>
              <w:jc w:val="left"/>
            </w:pPr>
            <w:r>
              <w:t xml:space="preserve">UX UI Designer – Full-Stack Digital Experience Design</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by Nexus Digital Design Studio LLC to Al Noor Financial Group for the engagement of a senior</w:t>
      </w:r>
      <w:r>
        <w:t xml:space="preserve"> </w:t>
      </w:r>
      <w:r>
        <w:t xml:space="preserve">UX UI Designer</w:t>
      </w:r>
      <w:r>
        <w:t xml:space="preserve"> </w:t>
      </w:r>
      <w:r>
        <w:t xml:space="preserve">to lead the comprehensive redesign of the client's digital banking platform. All services described herein will be delivered in accordance with the regulatory standards of the Central Bank of the United Arab Emirates and the operational requirements specific to the</w:t>
      </w:r>
      <w:r>
        <w:t xml:space="preserve"> </w:t>
      </w:r>
      <w:r>
        <w:t xml:space="preserve">United Arab Emirates Abu Dhabi</w:t>
      </w:r>
      <w:r>
        <w:t xml:space="preserve"> </w:t>
      </w:r>
      <w:r>
        <w:t xml:space="preserve">market. This</w:t>
      </w:r>
      <w:r>
        <w:t xml:space="preserve"> </w:t>
      </w:r>
      <w:r>
        <w:t xml:space="preserve">Quotation Estimate</w:t>
      </w:r>
      <w:r>
        <w:t xml:space="preserve"> </w:t>
      </w:r>
      <w:r>
        <w:t xml:space="preserve">outlines the full scope of design deliverables, project timelines, associated costs, and commercial terms governing the professional relationship between both parties.</w:t>
      </w:r>
    </w:p>
    <w:bookmarkEnd w:id="21"/>
    <w:bookmarkStart w:id="22" w:name="scope-of-work-ux-ui-designer-services"/>
    <w:p>
      <w:pPr>
        <w:pStyle w:val="Heading2"/>
      </w:pPr>
      <w:r>
        <w:t xml:space="preserve">2. Scope of Work – UX UI Designer Services</w:t>
      </w:r>
    </w:p>
    <w:p>
      <w:pPr>
        <w:pStyle w:val="FirstParagraph"/>
      </w:pPr>
      <w:r>
        <w:t xml:space="preserve">The</w:t>
      </w:r>
      <w:r>
        <w:t xml:space="preserve"> </w:t>
      </w:r>
      <w:r>
        <w:t xml:space="preserve">UX UI Designer</w:t>
      </w:r>
      <w:r>
        <w:t xml:space="preserve"> </w:t>
      </w:r>
      <w:r>
        <w:t xml:space="preserve">engaged under this</w:t>
      </w:r>
      <w:r>
        <w:t xml:space="preserve"> </w:t>
      </w:r>
      <w:r>
        <w:t xml:space="preserve">Quotation Estimate</w:t>
      </w:r>
      <w:r>
        <w:t xml:space="preserve"> </w:t>
      </w:r>
      <w:r>
        <w:t xml:space="preserve">will be responsible for the following deliverables and activities:</w:t>
      </w:r>
    </w:p>
    <w:p>
      <w:pPr>
        <w:numPr>
          <w:ilvl w:val="0"/>
          <w:numId w:val="1001"/>
        </w:numPr>
        <w:pStyle w:val="Compact"/>
      </w:pPr>
      <w:r>
        <w:rPr>
          <w:bCs/>
          <w:b/>
        </w:rPr>
        <w:t xml:space="preserve">Discovery &amp; Research Phase:</w:t>
      </w:r>
      <w:r>
        <w:t xml:space="preserve"> </w:t>
      </w:r>
      <w:r>
        <w:t xml:space="preserve">Conducting in-depth user research, stakeholder interviews, and competitive analysis tailored to the financial services sector in the</w:t>
      </w:r>
      <w:r>
        <w:t xml:space="preserve"> </w:t>
      </w:r>
      <w:r>
        <w:t xml:space="preserve">United Arab Emirates Abu Dhabi</w:t>
      </w:r>
      <w:r>
        <w:t xml:space="preserve"> </w:t>
      </w:r>
      <w:r>
        <w:t xml:space="preserve">region. This includes usability audits of the existing platform and the creation of detailed user personas reflecting the demographic and cultural profile of Abu Dhabi's banking customers.</w:t>
      </w:r>
    </w:p>
    <w:p>
      <w:pPr>
        <w:numPr>
          <w:ilvl w:val="0"/>
          <w:numId w:val="1001"/>
        </w:numPr>
        <w:pStyle w:val="Compact"/>
      </w:pPr>
      <w:r>
        <w:rPr>
          <w:bCs/>
          <w:b/>
        </w:rPr>
        <w:t xml:space="preserve">Information Architecture &amp; Wireframing:</w:t>
      </w:r>
      <w:r>
        <w:t xml:space="preserve"> </w:t>
      </w:r>
      <w:r>
        <w:t xml:space="preserve">Designing the complete information architecture, user flows, and low-fidelity wireframes for all core modules including account management, transaction history, loan applications, investment dashboards, and customer support interfaces.</w:t>
      </w:r>
    </w:p>
    <w:p>
      <w:pPr>
        <w:numPr>
          <w:ilvl w:val="0"/>
          <w:numId w:val="1001"/>
        </w:numPr>
        <w:pStyle w:val="Compact"/>
      </w:pPr>
      <w:r>
        <w:rPr>
          <w:bCs/>
          <w:b/>
        </w:rPr>
        <w:t xml:space="preserve">High-Fidelity UI Design:</w:t>
      </w:r>
      <w:r>
        <w:t xml:space="preserve"> </w:t>
      </w:r>
      <w:r>
        <w:t xml:space="preserve">Producing pixel-perfect, high-fidelity visual designs in Figma and Adobe XD, incorporating a modern design system with component libraries, style guides, and responsive layouts optimized for desktop, tablet, and mobile devices used across the</w:t>
      </w:r>
      <w:r>
        <w:t xml:space="preserve"> </w:t>
      </w:r>
      <w:r>
        <w:t xml:space="preserve">United Arab Emirates Abu Dhabi</w:t>
      </w:r>
      <w:r>
        <w:t xml:space="preserve"> </w:t>
      </w:r>
      <w:r>
        <w:t xml:space="preserve">market.</w:t>
      </w:r>
    </w:p>
    <w:p>
      <w:pPr>
        <w:numPr>
          <w:ilvl w:val="0"/>
          <w:numId w:val="1001"/>
        </w:numPr>
        <w:pStyle w:val="Compact"/>
      </w:pPr>
      <w:r>
        <w:rPr>
          <w:bCs/>
          <w:b/>
        </w:rPr>
        <w:t xml:space="preserve">Interactive Prototyping:</w:t>
      </w:r>
      <w:r>
        <w:t xml:space="preserve"> </w:t>
      </w:r>
      <w:r>
        <w:t xml:space="preserve">Building clickable, interactive prototypes to validate user journeys and gather feedback from internal stakeholders and a minimum of 15 end-user participants based in Abu Dhabi.</w:t>
      </w:r>
    </w:p>
    <w:p>
      <w:pPr>
        <w:numPr>
          <w:ilvl w:val="0"/>
          <w:numId w:val="1001"/>
        </w:numPr>
        <w:pStyle w:val="Compact"/>
      </w:pPr>
      <w:r>
        <w:rPr>
          <w:bCs/>
          <w:b/>
        </w:rPr>
        <w:t xml:space="preserve">Design System &amp; Documentation:</w:t>
      </w:r>
      <w:r>
        <w:t xml:space="preserve"> </w:t>
      </w:r>
      <w:r>
        <w:t xml:space="preserve">Delivering a comprehensive design system document, accessibility guidelines compliant with WCAG 2.1 AA standards, and developer handoff documentation including annotated specs, asset exports, and interaction notes.</w:t>
      </w:r>
    </w:p>
    <w:p>
      <w:pPr>
        <w:numPr>
          <w:ilvl w:val="0"/>
          <w:numId w:val="1001"/>
        </w:numPr>
        <w:pStyle w:val="Compact"/>
      </w:pPr>
      <w:r>
        <w:rPr>
          <w:bCs/>
          <w:b/>
        </w:rPr>
        <w:t xml:space="preserve">Usability Testing &amp; Iteration:</w:t>
      </w:r>
      <w:r>
        <w:t xml:space="preserve"> </w:t>
      </w:r>
      <w:r>
        <w:t xml:space="preserve">Facilitating two rounds of moderated usability testing sessions conducted in the</w:t>
      </w:r>
      <w:r>
        <w:t xml:space="preserve"> </w:t>
      </w:r>
      <w:r>
        <w:t xml:space="preserve">United Arab Emirates Abu Dhabi</w:t>
      </w:r>
      <w:r>
        <w:t xml:space="preserve"> </w:t>
      </w:r>
      <w:r>
        <w:t xml:space="preserve">office, incorporating findings into iterative design refinements.</w:t>
      </w:r>
    </w:p>
    <w:p>
      <w:pPr>
        <w:numPr>
          <w:ilvl w:val="0"/>
          <w:numId w:val="1001"/>
        </w:numPr>
        <w:pStyle w:val="Compact"/>
      </w:pPr>
      <w:r>
        <w:rPr>
          <w:bCs/>
          <w:b/>
        </w:rPr>
        <w:t xml:space="preserve">Developer Support &amp; QA:</w:t>
      </w:r>
      <w:r>
        <w:t xml:space="preserve"> </w:t>
      </w:r>
      <w:r>
        <w:t xml:space="preserve">Providing ongoing design consultation during the development phase, conducting visual QA reviews, and ensuring final implementation fidelity matches the approved</w:t>
      </w:r>
      <w:r>
        <w:t xml:space="preserve"> </w:t>
      </w:r>
      <w:r>
        <w:t xml:space="preserve">UX UI Designer</w:t>
      </w:r>
      <w:r>
        <w:t xml:space="preserve"> </w:t>
      </w:r>
      <w:r>
        <w:t xml:space="preserve">specifications.</w:t>
      </w:r>
    </w:p>
    <w:bookmarkEnd w:id="22"/>
    <w:bookmarkStart w:id="23" w:name="project-timeline"/>
    <w:p>
      <w:pPr>
        <w:pStyle w:val="Heading2"/>
      </w:pPr>
      <w:r>
        <w:t xml:space="preserve">3. Project Timeline</w:t>
      </w:r>
    </w:p>
    <w:p>
      <w:pPr>
        <w:pStyle w:val="FirstParagraph"/>
      </w:pPr>
      <w:r>
        <w:t xml:space="preserve">The total estimated duration for the</w:t>
      </w:r>
      <w:r>
        <w:t xml:space="preserve"> </w:t>
      </w:r>
      <w:r>
        <w:t xml:space="preserve">UX UI Designer</w:t>
      </w:r>
      <w:r>
        <w:t xml:space="preserve"> </w:t>
      </w:r>
      <w:r>
        <w:t xml:space="preserve">engagement under this</w:t>
      </w:r>
      <w:r>
        <w:t xml:space="preserve"> </w:t>
      </w:r>
      <w:r>
        <w:t xml:space="preserve">Quotation Estimate</w:t>
      </w:r>
      <w:r>
        <w:t xml:space="preserve"> </w:t>
      </w:r>
      <w:r>
        <w:t xml:space="preserve">is twelve (12) weeks from the date of contract execution, with the following milestone schedule:</w:t>
      </w:r>
    </w:p>
    <w:p>
      <w:pPr>
        <w:numPr>
          <w:ilvl w:val="0"/>
          <w:numId w:val="1002"/>
        </w:numPr>
        <w:pStyle w:val="Compact"/>
      </w:pPr>
      <w:r>
        <w:t xml:space="preserve">Weeks 1–2: Discovery, research, and stakeholder alignment</w:t>
      </w:r>
    </w:p>
    <w:p>
      <w:pPr>
        <w:numPr>
          <w:ilvl w:val="0"/>
          <w:numId w:val="1002"/>
        </w:numPr>
        <w:pStyle w:val="Compact"/>
      </w:pPr>
      <w:r>
        <w:t xml:space="preserve">Weeks 3–4: Information architecture, user flows, and wireframing</w:t>
      </w:r>
    </w:p>
    <w:p>
      <w:pPr>
        <w:numPr>
          <w:ilvl w:val="0"/>
          <w:numId w:val="1002"/>
        </w:numPr>
        <w:pStyle w:val="Compact"/>
      </w:pPr>
      <w:r>
        <w:t xml:space="preserve">Weeks 5–7: High-fidelity UI design and design system development</w:t>
      </w:r>
    </w:p>
    <w:p>
      <w:pPr>
        <w:numPr>
          <w:ilvl w:val="0"/>
          <w:numId w:val="1002"/>
        </w:numPr>
        <w:pStyle w:val="Compact"/>
      </w:pPr>
      <w:r>
        <w:t xml:space="preserve">Week 8: Interactive prototyping and first usability testing round</w:t>
      </w:r>
    </w:p>
    <w:p>
      <w:pPr>
        <w:numPr>
          <w:ilvl w:val="0"/>
          <w:numId w:val="1002"/>
        </w:numPr>
        <w:pStyle w:val="Compact"/>
      </w:pPr>
      <w:r>
        <w:t xml:space="preserve">Weeks 9–10: Design iteration and second usability testing round</w:t>
      </w:r>
    </w:p>
    <w:p>
      <w:pPr>
        <w:numPr>
          <w:ilvl w:val="0"/>
          <w:numId w:val="1002"/>
        </w:numPr>
        <w:pStyle w:val="Compact"/>
      </w:pPr>
      <w:r>
        <w:t xml:space="preserve">Week 11: Final design documentation and developer handoff</w:t>
      </w:r>
    </w:p>
    <w:p>
      <w:pPr>
        <w:numPr>
          <w:ilvl w:val="0"/>
          <w:numId w:val="1002"/>
        </w:numPr>
        <w:pStyle w:val="Compact"/>
      </w:pPr>
      <w:r>
        <w:t xml:space="preserve">Week 12: Developer support, visual QA, and project closure</w:t>
      </w:r>
    </w:p>
    <w:bookmarkEnd w:id="23"/>
    <w:bookmarkStart w:id="24" w:name="cost-breakdown"/>
    <w:p>
      <w:pPr>
        <w:pStyle w:val="Heading2"/>
      </w:pPr>
      <w:r>
        <w:t xml:space="preserve">4.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UX Research &amp; Discovery (UX UI Designer – Senior)</w:t>
            </w:r>
          </w:p>
        </w:tc>
        <w:tc>
          <w:tcPr/>
          <w:p>
            <w:pPr>
              <w:pStyle w:val="Compact"/>
              <w:jc w:val="left"/>
            </w:pPr>
            <w:r>
              <w:t xml:space="preserve">2 weeks</w:t>
            </w:r>
          </w:p>
        </w:tc>
        <w:tc>
          <w:tcPr/>
          <w:p>
            <w:pPr>
              <w:pStyle w:val="Compact"/>
              <w:jc w:val="left"/>
            </w:pPr>
            <w:r>
              <w:t xml:space="preserve">3,500 / day</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Information Architecture &amp; Wireframing</w:t>
            </w:r>
          </w:p>
        </w:tc>
        <w:tc>
          <w:tcPr/>
          <w:p>
            <w:pPr>
              <w:pStyle w:val="Compact"/>
              <w:jc w:val="left"/>
            </w:pPr>
            <w:r>
              <w:t xml:space="preserve">2 weeks</w:t>
            </w:r>
          </w:p>
        </w:tc>
        <w:tc>
          <w:tcPr/>
          <w:p>
            <w:pPr>
              <w:pStyle w:val="Compact"/>
              <w:jc w:val="left"/>
            </w:pPr>
            <w:r>
              <w:t xml:space="preserve">3,500 / day</w:t>
            </w:r>
          </w:p>
        </w:tc>
        <w:tc>
          <w:tcPr/>
          <w:p>
            <w:pPr>
              <w:pStyle w:val="Compact"/>
              <w:jc w:val="left"/>
            </w:pPr>
            <w:r>
              <w:t xml:space="preserve">35,000</w:t>
            </w:r>
          </w:p>
        </w:tc>
      </w:tr>
      <w:tr>
        <w:tc>
          <w:tcPr/>
          <w:p>
            <w:pPr>
              <w:pStyle w:val="Compact"/>
              <w:jc w:val="left"/>
            </w:pPr>
            <w:r>
              <w:t xml:space="preserve">3</w:t>
            </w:r>
          </w:p>
        </w:tc>
        <w:tc>
          <w:tcPr/>
          <w:p>
            <w:pPr>
              <w:pStyle w:val="Compact"/>
              <w:jc w:val="left"/>
            </w:pPr>
            <w:r>
              <w:t xml:space="preserve">High-Fidelity UI Design &amp; Design System</w:t>
            </w:r>
          </w:p>
        </w:tc>
        <w:tc>
          <w:tcPr/>
          <w:p>
            <w:pPr>
              <w:pStyle w:val="Compact"/>
              <w:jc w:val="left"/>
            </w:pPr>
            <w:r>
              <w:t xml:space="preserve">3 weeks</w:t>
            </w:r>
          </w:p>
        </w:tc>
        <w:tc>
          <w:tcPr/>
          <w:p>
            <w:pPr>
              <w:pStyle w:val="Compact"/>
              <w:jc w:val="left"/>
            </w:pPr>
            <w:r>
              <w:t xml:space="preserve">3,500 / day</w:t>
            </w:r>
          </w:p>
        </w:tc>
        <w:tc>
          <w:tcPr/>
          <w:p>
            <w:pPr>
              <w:pStyle w:val="Compact"/>
              <w:jc w:val="left"/>
            </w:pPr>
            <w:r>
              <w:t xml:space="preserve">52,500</w:t>
            </w:r>
          </w:p>
        </w:tc>
      </w:tr>
      <w:tr>
        <w:tc>
          <w:tcPr/>
          <w:p>
            <w:pPr>
              <w:pStyle w:val="Compact"/>
              <w:jc w:val="left"/>
            </w:pPr>
            <w:r>
              <w:t xml:space="preserve">4</w:t>
            </w:r>
          </w:p>
        </w:tc>
        <w:tc>
          <w:tcPr/>
          <w:p>
            <w:pPr>
              <w:pStyle w:val="Compact"/>
              <w:jc w:val="left"/>
            </w:pPr>
            <w:r>
              <w:t xml:space="preserve">Prototyping &amp; Usability Testing (2 rounds)</w:t>
            </w:r>
          </w:p>
        </w:tc>
        <w:tc>
          <w:tcPr/>
          <w:p>
            <w:pPr>
              <w:pStyle w:val="Compact"/>
              <w:jc w:val="left"/>
            </w:pPr>
            <w:r>
              <w:t xml:space="preserve">2 weeks</w:t>
            </w:r>
          </w:p>
        </w:tc>
        <w:tc>
          <w:tcPr/>
          <w:p>
            <w:pPr>
              <w:pStyle w:val="Compact"/>
              <w:jc w:val="left"/>
            </w:pPr>
            <w:r>
              <w:t xml:space="preserve">3,500 / day</w:t>
            </w:r>
          </w:p>
        </w:tc>
        <w:tc>
          <w:tcPr/>
          <w:p>
            <w:pPr>
              <w:pStyle w:val="Compact"/>
              <w:jc w:val="left"/>
            </w:pPr>
            <w:r>
              <w:t xml:space="preserve">35,000</w:t>
            </w:r>
          </w:p>
        </w:tc>
      </w:tr>
      <w:tr>
        <w:tc>
          <w:tcPr/>
          <w:p>
            <w:pPr>
              <w:pStyle w:val="Compact"/>
              <w:jc w:val="left"/>
            </w:pPr>
            <w:r>
              <w:t xml:space="preserve">5</w:t>
            </w:r>
          </w:p>
        </w:tc>
        <w:tc>
          <w:tcPr/>
          <w:p>
            <w:pPr>
              <w:pStyle w:val="Compact"/>
              <w:jc w:val="left"/>
            </w:pPr>
            <w:r>
              <w:t xml:space="preserve">Design Documentation &amp; Developer Handoff</w:t>
            </w:r>
          </w:p>
        </w:tc>
        <w:tc>
          <w:tcPr/>
          <w:p>
            <w:pPr>
              <w:pStyle w:val="Compact"/>
              <w:jc w:val="left"/>
            </w:pPr>
            <w:r>
              <w:t xml:space="preserve">1 week</w:t>
            </w:r>
          </w:p>
        </w:tc>
        <w:tc>
          <w:tcPr/>
          <w:p>
            <w:pPr>
              <w:pStyle w:val="Compact"/>
              <w:jc w:val="left"/>
            </w:pPr>
            <w:r>
              <w:t xml:space="preserve">3,500 / day</w:t>
            </w:r>
          </w:p>
        </w:tc>
        <w:tc>
          <w:tcPr/>
          <w:p>
            <w:pPr>
              <w:pStyle w:val="Compact"/>
              <w:jc w:val="left"/>
            </w:pPr>
            <w:r>
              <w:t xml:space="preserve">17,500</w:t>
            </w:r>
          </w:p>
        </w:tc>
      </w:tr>
      <w:tr>
        <w:tc>
          <w:tcPr/>
          <w:p>
            <w:pPr>
              <w:pStyle w:val="Compact"/>
              <w:jc w:val="left"/>
            </w:pPr>
            <w:r>
              <w:t xml:space="preserve">6</w:t>
            </w:r>
          </w:p>
        </w:tc>
        <w:tc>
          <w:tcPr/>
          <w:p>
            <w:pPr>
              <w:pStyle w:val="Compact"/>
              <w:jc w:val="left"/>
            </w:pPr>
            <w:r>
              <w:t xml:space="preserve">Developer Support &amp; Visual QA</w:t>
            </w:r>
          </w:p>
        </w:tc>
        <w:tc>
          <w:tcPr/>
          <w:p>
            <w:pPr>
              <w:pStyle w:val="Compact"/>
              <w:jc w:val="left"/>
            </w:pPr>
            <w:r>
              <w:t xml:space="preserve">1 week</w:t>
            </w:r>
          </w:p>
        </w:tc>
        <w:tc>
          <w:tcPr/>
          <w:p>
            <w:pPr>
              <w:pStyle w:val="Compact"/>
              <w:jc w:val="left"/>
            </w:pPr>
            <w:r>
              <w:t xml:space="preserve">3,500 / day</w:t>
            </w:r>
          </w:p>
        </w:tc>
        <w:tc>
          <w:tcPr/>
          <w:p>
            <w:pPr>
              <w:pStyle w:val="Compact"/>
              <w:jc w:val="left"/>
            </w:pPr>
            <w:r>
              <w:t xml:space="preserve">17,500</w:t>
            </w:r>
          </w:p>
        </w:tc>
      </w:tr>
      <w:tr>
        <w:tc>
          <w:tcPr/>
          <w:p>
            <w:pPr>
              <w:pStyle w:val="Compact"/>
              <w:jc w:val="left"/>
            </w:pPr>
            <w:r>
              <w:t xml:space="preserve">7</w:t>
            </w:r>
          </w:p>
        </w:tc>
        <w:tc>
          <w:tcPr/>
          <w:p>
            <w:pPr>
              <w:pStyle w:val="Compact"/>
              <w:jc w:val="left"/>
            </w:pPr>
            <w:r>
              <w:t xml:space="preserve">Usability Testing Participant Stipends (15 pax, Abu Dhabi)</w:t>
            </w:r>
          </w:p>
        </w:tc>
        <w:tc>
          <w:tcPr/>
          <w:p>
            <w:pPr>
              <w:pStyle w:val="Compact"/>
              <w:jc w:val="left"/>
            </w:pPr>
            <w:r>
              <w:t xml:space="preserve">—</w:t>
            </w:r>
          </w:p>
        </w:tc>
        <w:tc>
          <w:tcPr/>
          <w:p>
            <w:pPr>
              <w:pStyle w:val="Compact"/>
              <w:jc w:val="left"/>
            </w:pPr>
            <w:r>
              <w:t xml:space="preserve">—</w:t>
            </w:r>
          </w:p>
        </w:tc>
        <w:tc>
          <w:tcPr/>
          <w:p>
            <w:pPr>
              <w:pStyle w:val="Compact"/>
              <w:jc w:val="left"/>
            </w:pPr>
            <w:r>
              <w:t xml:space="preserve">7,500</w:t>
            </w:r>
          </w:p>
        </w:tc>
      </w:tr>
      <w:tr>
        <w:tc>
          <w:tcPr/>
          <w:p>
            <w:pPr>
              <w:pStyle w:val="Compact"/>
              <w:jc w:val="left"/>
            </w:pPr>
            <w:r>
              <w:t xml:space="preserve">8</w:t>
            </w:r>
          </w:p>
        </w:tc>
        <w:tc>
          <w:tcPr/>
          <w:p>
            <w:pPr>
              <w:pStyle w:val="Compact"/>
              <w:jc w:val="left"/>
            </w:pPr>
            <w:r>
              <w:t xml:space="preserve">Software Licenses &amp; Tooling (Figma, Maze, Lookback)</w:t>
            </w:r>
          </w:p>
        </w:tc>
        <w:tc>
          <w:tcPr/>
          <w:p>
            <w:pPr>
              <w:pStyle w:val="Compact"/>
              <w:jc w:val="left"/>
            </w:pPr>
            <w:r>
              <w:t xml:space="preserve">12 weeks</w:t>
            </w:r>
          </w:p>
        </w:tc>
        <w:tc>
          <w:tcPr/>
          <w:p>
            <w:pPr>
              <w:pStyle w:val="Compact"/>
              <w:jc w:val="left"/>
            </w:pPr>
            <w:r>
              <w:t xml:space="preserve">—</w:t>
            </w:r>
          </w:p>
        </w:tc>
        <w:tc>
          <w:tcPr/>
          <w:p>
            <w:pPr>
              <w:pStyle w:val="Compact"/>
              <w:jc w:val="left"/>
            </w:pPr>
            <w:r>
              <w:t xml:space="preserve">4,500</w:t>
            </w:r>
          </w:p>
        </w:tc>
      </w:tr>
      <w:tr>
        <w:tc>
          <w:tcPr>
            <w:gridSpan w:val="4"/>
          </w:tcPr>
          <w:p>
            <w:pPr>
              <w:pStyle w:val="Compact"/>
              <w:jc w:val="left"/>
            </w:pPr>
            <w:r>
              <w:t xml:space="preserve">Subtotal</w:t>
            </w:r>
          </w:p>
        </w:tc>
        <w:tc>
          <w:tcPr/>
          <w:p>
            <w:pPr>
              <w:pStyle w:val="Compact"/>
              <w:jc w:val="left"/>
            </w:pPr>
            <w:r>
              <w:t xml:space="preserve">204,500</w:t>
            </w:r>
          </w:p>
        </w:tc>
      </w:tr>
      <w:tr>
        <w:tc>
          <w:tcPr>
            <w:gridSpan w:val="4"/>
          </w:tcPr>
          <w:p>
            <w:pPr>
              <w:pStyle w:val="Compact"/>
              <w:jc w:val="left"/>
            </w:pPr>
            <w:r>
              <w:t xml:space="preserve">VAT (5% – United Arab Emirates)</w:t>
            </w:r>
          </w:p>
        </w:tc>
        <w:tc>
          <w:tcPr/>
          <w:p>
            <w:pPr>
              <w:pStyle w:val="Compact"/>
              <w:jc w:val="left"/>
            </w:pPr>
            <w:r>
              <w:t xml:space="preserve">10,225</w:t>
            </w:r>
          </w:p>
        </w:tc>
      </w:tr>
      <w:tr>
        <w:tc>
          <w:tcPr>
            <w:gridSpan w:val="4"/>
          </w:tcPr>
          <w:p>
            <w:pPr>
              <w:pStyle w:val="Compact"/>
              <w:jc w:val="left"/>
            </w:pPr>
            <w:r>
              <w:rPr>
                <w:bCs/>
                <w:b/>
              </w:rPr>
              <w:t xml:space="preserve">Total Amount Due (AED)</w:t>
            </w:r>
          </w:p>
        </w:tc>
        <w:tc>
          <w:tcPr/>
          <w:p>
            <w:pPr>
              <w:pStyle w:val="Compact"/>
              <w:jc w:val="left"/>
            </w:pPr>
            <w:r>
              <w:rPr>
                <w:bCs/>
                <w:b/>
              </w:rPr>
              <w:t xml:space="preserve">214,725</w:t>
            </w:r>
          </w:p>
        </w:tc>
      </w:tr>
    </w:tbl>
    <w:bookmarkEnd w:id="24"/>
    <w:bookmarkStart w:id="25" w:name="payment-schedule"/>
    <w:p>
      <w:pPr>
        <w:pStyle w:val="Heading2"/>
      </w:pPr>
      <w:r>
        <w:t xml:space="preserve">5. Payment Schedule</w:t>
      </w:r>
    </w:p>
    <w:p>
      <w:pPr>
        <w:pStyle w:val="FirstParagraph"/>
      </w:pPr>
      <w:r>
        <w:t xml:space="preserve">Payment for the services outlined in this</w:t>
      </w:r>
      <w:r>
        <w:t xml:space="preserve"> </w:t>
      </w:r>
      <w:r>
        <w:t xml:space="preserve">Quotation Estimate</w:t>
      </w:r>
      <w:r>
        <w:t xml:space="preserve"> </w:t>
      </w:r>
      <w:r>
        <w:t xml:space="preserve">shall be made in three installments as follows:</w:t>
      </w:r>
    </w:p>
    <w:p>
      <w:pPr>
        <w:numPr>
          <w:ilvl w:val="0"/>
          <w:numId w:val="1003"/>
        </w:numPr>
        <w:pStyle w:val="Compact"/>
      </w:pPr>
      <w:r>
        <w:rPr>
          <w:bCs/>
          <w:b/>
        </w:rPr>
        <w:t xml:space="preserve">30% Advance (AED 64,417.50):</w:t>
      </w:r>
      <w:r>
        <w:t xml:space="preserve"> </w:t>
      </w:r>
      <w:r>
        <w:t xml:space="preserve">Due upon signing of the service agreement and acceptance of this</w:t>
      </w:r>
      <w:r>
        <w:t xml:space="preserve"> </w:t>
      </w:r>
      <w:r>
        <w:t xml:space="preserve">Quotation Estimate</w:t>
      </w:r>
      <w:r>
        <w:t xml:space="preserve">.</w:t>
      </w:r>
    </w:p>
    <w:p>
      <w:pPr>
        <w:numPr>
          <w:ilvl w:val="0"/>
          <w:numId w:val="1003"/>
        </w:numPr>
        <w:pStyle w:val="Compact"/>
      </w:pPr>
      <w:r>
        <w:rPr>
          <w:bCs/>
          <w:b/>
        </w:rPr>
        <w:t xml:space="preserve">40% Milestone (AED 85,890.00):</w:t>
      </w:r>
      <w:r>
        <w:t xml:space="preserve"> </w:t>
      </w:r>
      <w:r>
        <w:t xml:space="preserve">Due upon approval of high-fidelity UI designs and completion of the first usability testing round.</w:t>
      </w:r>
    </w:p>
    <w:p>
      <w:pPr>
        <w:numPr>
          <w:ilvl w:val="0"/>
          <w:numId w:val="1003"/>
        </w:numPr>
        <w:pStyle w:val="Compact"/>
      </w:pPr>
      <w:r>
        <w:rPr>
          <w:bCs/>
          <w:b/>
        </w:rPr>
        <w:t xml:space="preserve">30% Final (AED 64,417.50):</w:t>
      </w:r>
      <w:r>
        <w:t xml:space="preserve"> </w:t>
      </w:r>
      <w:r>
        <w:t xml:space="preserve">Due upon project closure, delivery of all final documentation, and sign-off by the client's project manager in</w:t>
      </w:r>
      <w:r>
        <w:t xml:space="preserve"> </w:t>
      </w:r>
      <w:r>
        <w:t xml:space="preserve">United Arab Emirates Abu Dhabi</w:t>
      </w:r>
      <w:r>
        <w:t xml:space="preserve">.</w:t>
      </w:r>
    </w:p>
    <w:bookmarkEnd w:id="25"/>
    <w:bookmarkStart w:id="26" w:name="terms-conditions"/>
    <w:p>
      <w:pPr>
        <w:pStyle w:val="Heading2"/>
      </w:pPr>
      <w:r>
        <w:t xml:space="preserve">6. Terms &amp; Conditions</w:t>
      </w:r>
    </w:p>
    <w:p>
      <w:pPr>
        <w:numPr>
          <w:ilvl w:val="0"/>
          <w:numId w:val="1004"/>
        </w:numPr>
        <w:pStyle w:val="Compact"/>
      </w:pPr>
      <w:r>
        <w:t xml:space="preserve">This</w:t>
      </w:r>
      <w:r>
        <w:t xml:space="preserve"> </w:t>
      </w:r>
      <w:r>
        <w:t xml:space="preserve">Quotation Estimate</w:t>
      </w:r>
      <w:r>
        <w:t xml:space="preserve"> </w:t>
      </w:r>
      <w:r>
        <w:t xml:space="preserve">is valid for thirty (30) calendar days from the date of issue. Beyond this period, rates and availability of the</w:t>
      </w:r>
      <w:r>
        <w:t xml:space="preserve"> </w:t>
      </w:r>
      <w:r>
        <w:t xml:space="preserve">UX UI Designer</w:t>
      </w:r>
      <w:r>
        <w:t xml:space="preserve"> </w:t>
      </w:r>
      <w:r>
        <w:t xml:space="preserve">may be subject to revision.</w:t>
      </w:r>
    </w:p>
    <w:p>
      <w:pPr>
        <w:numPr>
          <w:ilvl w:val="0"/>
          <w:numId w:val="1004"/>
        </w:numPr>
        <w:pStyle w:val="Compact"/>
      </w:pPr>
      <w:r>
        <w:t xml:space="preserve">All intellectual property rights to final design deliverables shall transfer to the client upon full payment. Nexus Digital Design Studio LLC retains the right to display completed work in its portfolio with prior written consent from the client.</w:t>
      </w:r>
    </w:p>
    <w:p>
      <w:pPr>
        <w:numPr>
          <w:ilvl w:val="0"/>
          <w:numId w:val="1004"/>
        </w:numPr>
        <w:pStyle w:val="Compact"/>
      </w:pPr>
      <w:r>
        <w:t xml:space="preserve">The</w:t>
      </w:r>
      <w:r>
        <w:t xml:space="preserve"> </w:t>
      </w:r>
      <w:r>
        <w:t xml:space="preserve">UX UI Designer</w:t>
      </w:r>
      <w:r>
        <w:t xml:space="preserve"> </w:t>
      </w:r>
      <w:r>
        <w:t xml:space="preserve">shall comply with all data protection regulations applicable in the</w:t>
      </w:r>
      <w:r>
        <w:t xml:space="preserve"> </w:t>
      </w:r>
      <w:r>
        <w:t xml:space="preserve">United Arab Emirates Abu Dhabi</w:t>
      </w:r>
      <w:r>
        <w:t xml:space="preserve"> </w:t>
      </w:r>
      <w:r>
        <w:t xml:space="preserve">jurisdiction, including the UAE Federal Decree-Law No. 45 of 2021 on Personal Data Protection.</w:t>
      </w:r>
    </w:p>
    <w:p>
      <w:pPr>
        <w:numPr>
          <w:ilvl w:val="0"/>
          <w:numId w:val="1004"/>
        </w:numPr>
        <w:pStyle w:val="Compact"/>
      </w:pPr>
      <w:r>
        <w:t xml:space="preserve">Any scope changes or additional design requests beyond the deliverables listed in Section 2 shall be subject to a separate change-order</w:t>
      </w:r>
      <w:r>
        <w:t xml:space="preserve"> </w:t>
      </w:r>
      <w:r>
        <w:t xml:space="preserve">Quotation Estimate</w:t>
      </w:r>
      <w:r>
        <w:t xml:space="preserve"> </w:t>
      </w:r>
      <w:r>
        <w:t xml:space="preserve">and mutual written approval.</w:t>
      </w:r>
    </w:p>
    <w:p>
      <w:pPr>
        <w:numPr>
          <w:ilvl w:val="0"/>
          <w:numId w:val="1004"/>
        </w:numPr>
        <w:pStyle w:val="Compact"/>
      </w:pPr>
      <w:r>
        <w:t xml:space="preserve">The client is responsible for providing timely access to stakeholders, existing platform credentials, brand assets, and regulatory documentation required for the</w:t>
      </w:r>
      <w:r>
        <w:t xml:space="preserve"> </w:t>
      </w:r>
      <w:r>
        <w:t xml:space="preserve">UX UI Designer</w:t>
      </w:r>
      <w:r>
        <w:t xml:space="preserve"> </w:t>
      </w:r>
      <w:r>
        <w:t xml:space="preserve">to perform the work.</w:t>
      </w:r>
    </w:p>
    <w:p>
      <w:pPr>
        <w:numPr>
          <w:ilvl w:val="0"/>
          <w:numId w:val="1004"/>
        </w:numPr>
        <w:pStyle w:val="Compact"/>
      </w:pPr>
      <w:r>
        <w:t xml:space="preserve">Delays in client feedback exceeding five (5) business days shall result in a proportional extension of the project timeline at no additional cost to the client.</w:t>
      </w:r>
    </w:p>
    <w:p>
      <w:pPr>
        <w:numPr>
          <w:ilvl w:val="0"/>
          <w:numId w:val="1004"/>
        </w:numPr>
        <w:pStyle w:val="Compact"/>
      </w:pPr>
      <w:r>
        <w:t xml:space="preserve">This engagement is governed by the laws of the United Arab Emirates, and any disputes shall be resolved through arbitration in</w:t>
      </w:r>
      <w:r>
        <w:t xml:space="preserve"> </w:t>
      </w:r>
      <w:r>
        <w:t xml:space="preserve">United Arab Emirates Abu Dhabi</w:t>
      </w:r>
      <w:r>
        <w:t xml:space="preserve"> </w:t>
      </w:r>
      <w:r>
        <w:t xml:space="preserve">in accordance with the DIFC Arbitration Rules.</w:t>
      </w:r>
    </w:p>
    <w:p>
      <w:pPr>
        <w:numPr>
          <w:ilvl w:val="0"/>
          <w:numId w:val="1004"/>
        </w:numPr>
        <w:pStyle w:val="Compact"/>
      </w:pPr>
      <w:r>
        <w:t xml:space="preserve">Confidentiality obligations as outlined in the separate Non-Disclosure Agreement (NDA) shall remain in effect for a period of two (2) years following project completion.</w:t>
      </w:r>
    </w:p>
    <w:bookmarkEnd w:id="26"/>
    <w:bookmarkStart w:id="27" w:name="acceptance-authorization"/>
    <w:p>
      <w:pPr>
        <w:pStyle w:val="Heading2"/>
      </w:pPr>
      <w:r>
        <w:t xml:space="preserve">7. Acceptance &amp; Authorization</w:t>
      </w:r>
    </w:p>
    <w:p>
      <w:pPr>
        <w:pStyle w:val="FirstParagraph"/>
      </w:pPr>
      <w:r>
        <w:t xml:space="preserve">By signing below, both parties acknowledge and accept the terms, scope, and costs detailed in this</w:t>
      </w:r>
      <w:r>
        <w:t xml:space="preserve"> </w:t>
      </w:r>
      <w:r>
        <w:t xml:space="preserve">Quotation Estimate</w:t>
      </w:r>
      <w:r>
        <w:t xml:space="preserve"> </w:t>
      </w:r>
      <w:r>
        <w:t xml:space="preserve">for the</w:t>
      </w:r>
      <w:r>
        <w:t xml:space="preserve"> </w:t>
      </w:r>
      <w:r>
        <w:t xml:space="preserve">UX UI Designer</w:t>
      </w:r>
      <w:r>
        <w:t xml:space="preserve"> </w:t>
      </w:r>
      <w:r>
        <w:t xml:space="preserve">services to be delivered in</w:t>
      </w:r>
      <w:r>
        <w:t xml:space="preserve"> </w:t>
      </w:r>
      <w:r>
        <w:t xml:space="preserve">United Arab Emirates Abu Dhabi</w:t>
      </w:r>
      <w:r>
        <w:t xml:space="preserve">.</w:t>
      </w:r>
    </w:p>
    <w:p>
      <w:pPr>
        <w:pStyle w:val="BodyText"/>
      </w:pPr>
      <w:r>
        <w:rPr>
          <w:bCs/>
          <w:b/>
        </w:rPr>
        <w:t xml:space="preserve">For Nexus Digital Design Studio LLC</w:t>
      </w:r>
    </w:p>
    <w:p>
      <w:pPr>
        <w:pStyle w:val="BodyText"/>
      </w:pPr>
      <w:r>
        <w:t xml:space="preserve">Name: Sarah Al Mansouri</w:t>
      </w:r>
      <w:r>
        <w:br/>
      </w:r>
      <w:r>
        <w:t xml:space="preserve">Title: Managing Director</w:t>
      </w:r>
      <w:r>
        <w:br/>
      </w:r>
      <w:r>
        <w:t xml:space="preserve">Date: ____________________</w:t>
      </w:r>
    </w:p>
    <w:p>
      <w:pPr>
        <w:pStyle w:val="BodyText"/>
      </w:pPr>
      <w:r>
        <w:rPr>
          <w:bCs/>
          <w:b/>
        </w:rPr>
        <w:t xml:space="preserve">For Al Noor Financial Group</w:t>
      </w:r>
    </w:p>
    <w:p>
      <w:pPr>
        <w:pStyle w:val="BodyText"/>
      </w:pPr>
      <w:r>
        <w:t xml:space="preserve">Name: ____________________</w:t>
      </w:r>
      <w:r>
        <w:br/>
      </w:r>
      <w:r>
        <w:t xml:space="preserve">Title: ____________________</w:t>
      </w:r>
      <w:r>
        <w:br/>
      </w:r>
      <w:r>
        <w:t xml:space="preserve">Date: ____________________</w:t>
      </w:r>
    </w:p>
    <w:p>
      <w:pPr>
        <w:pStyle w:val="BodyText"/>
      </w:pPr>
      <w:r>
        <w:t xml:space="preserve">This Quotation Estimate document was generated by Nexus Digital Design Studio LLC, United Arab Emirates Abu Dhabi. Document Ref: QTE-2025-0784. Page 1 of 1.</w:t>
      </w:r>
    </w:p>
    <w:p>
      <w:pPr>
        <w:pStyle w:val="BodyText"/>
      </w:pPr>
      <w:r>
        <w:t xml:space="preserve">For queries regarding this Quotation Estimate, please contact estimates@nexusdigital.ae or call +971 2 445 6789.</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United Arab Emirates Abu Dhabi</dc:title>
  <dc:creator/>
  <dc:language>en</dc:language>
  <cp:keywords/>
  <dcterms:created xsi:type="dcterms:W3CDTF">2026-10-10T08:50:30Z</dcterms:created>
  <dcterms:modified xsi:type="dcterms:W3CDTF">2026-10-10T08:50:30Z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