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Cairo</w:t>
      </w:r>
      <w:r>
        <w:t xml:space="preserve"> </w:t>
      </w:r>
      <w:r>
        <w:t xml:space="preserve">Veterinary</w:t>
      </w:r>
      <w:r>
        <w:t xml:space="preserve"> </w:t>
      </w:r>
      <w:r>
        <w:t xml:space="preserve">Clinic</w:t>
      </w:r>
    </w:p>
    <w:bookmarkStart w:id="21" w:name="cairo-veterinary-care-center"/>
    <w:p>
      <w:pPr>
        <w:pStyle w:val="Heading1"/>
      </w:pPr>
      <w:r>
        <w:t xml:space="preserve">Cairo Veterinary Care Center</w:t>
      </w:r>
    </w:p>
    <w:bookmarkStart w:id="20" w:name="Xa2ff038f00ccc7fa8846bd91df4531ddc4cb432"/>
    <w:p>
      <w:pPr>
        <w:pStyle w:val="Heading2"/>
      </w:pPr>
      <w:r>
        <w:t xml:space="preserve">Comprehensive Animal Health Services – Egypt, Cairo</w:t>
      </w:r>
    </w:p>
    <w:p>
      <w:pPr>
        <w:pStyle w:val="FirstParagraph"/>
      </w:pPr>
      <w:r>
        <w:t xml:space="preserve">127 El Tahrir Street, Dokki District, Giza, Cairo, Egypt | Tel: +20 2 3336 8899 | Email: info@cairovetcare.eg</w:t>
      </w:r>
    </w:p>
    <w:p>
      <w:pPr>
        <w:pStyle w:val="BodyText"/>
      </w:pPr>
      <w:r>
        <w:t xml:space="preserve">Licensed by the Egyptian Ministry of Agriculture – Veterinary Services Directorate | License No. EG-VET-2024-04571</w:t>
      </w:r>
    </w:p>
    <w:bookmarkEnd w:id="20"/>
    <w:bookmarkEnd w:id="21"/>
    <w:p>
      <w:pPr>
        <w:pStyle w:val="BodyText"/>
      </w:pPr>
      <w:r>
        <w:t xml:space="preserve">Quotation Estimate</w:t>
      </w:r>
    </w:p>
    <w:bookmarkStart w:id="22" w:name="quotation-details"/>
    <w:p>
      <w:pPr>
        <w:pStyle w:val="Heading3"/>
      </w:pPr>
      <w:r>
        <w:t xml:space="preserve">Quotation Details</w:t>
      </w:r>
    </w:p>
    <w:p>
      <w:pPr>
        <w:pStyle w:val="FirstParagraph"/>
      </w:pPr>
      <w:r>
        <w:rPr>
          <w:bCs/>
          <w:b/>
        </w:rPr>
        <w:t xml:space="preserve">Quotation No.:</w:t>
      </w:r>
      <w:r>
        <w:t xml:space="preserve"> </w:t>
      </w:r>
      <w:r>
        <w:t xml:space="preserve">CVCC-QE-2025-03847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Egyptian Pound (EGP)</w:t>
      </w:r>
    </w:p>
    <w:bookmarkEnd w:id="22"/>
    <w:bookmarkStart w:id="23" w:name="client-information"/>
    <w:p>
      <w:pPr>
        <w:pStyle w:val="Heading3"/>
      </w:pPr>
      <w:r>
        <w:t xml:space="preserve">Client Information</w:t>
      </w:r>
    </w:p>
    <w:p>
      <w:pPr>
        <w:pStyle w:val="FirstParagraph"/>
      </w:pPr>
      <w:r>
        <w:rPr>
          <w:bCs/>
          <w:b/>
        </w:rPr>
        <w:t xml:space="preserve">Client Name:</w:t>
      </w:r>
      <w:r>
        <w:t xml:space="preserve"> </w:t>
      </w:r>
      <w:r>
        <w:t xml:space="preserve">Mr. Ahmed Hassan El-Sayed</w:t>
      </w:r>
    </w:p>
    <w:p>
      <w:pPr>
        <w:pStyle w:val="BodyText"/>
      </w:pPr>
      <w:r>
        <w:rPr>
          <w:bCs/>
          <w:b/>
        </w:rPr>
        <w:t xml:space="preserve">Address:</w:t>
      </w:r>
      <w:r>
        <w:t xml:space="preserve"> </w:t>
      </w:r>
      <w:r>
        <w:t xml:space="preserve">45 Maadi Road, New Cairo, Cairo, Egypt</w:t>
      </w:r>
    </w:p>
    <w:p>
      <w:pPr>
        <w:pStyle w:val="BodyText"/>
      </w:pPr>
      <w:r>
        <w:rPr>
          <w:bCs/>
          <w:b/>
        </w:rPr>
        <w:t xml:space="preserve">Phone:</w:t>
      </w:r>
      <w:r>
        <w:t xml:space="preserve"> </w:t>
      </w:r>
      <w:r>
        <w:t xml:space="preserve">+20 100 555 7788</w:t>
      </w:r>
    </w:p>
    <w:p>
      <w:pPr>
        <w:pStyle w:val="BodyText"/>
      </w:pPr>
      <w:r>
        <w:rPr>
          <w:bCs/>
          <w:b/>
        </w:rPr>
        <w:t xml:space="preserve">Pet:</w:t>
      </w:r>
      <w:r>
        <w:t xml:space="preserve"> </w:t>
      </w:r>
      <w:r>
        <w:t xml:space="preserve">German Shepherd – "Rex" (3 years, male)</w:t>
      </w:r>
    </w:p>
    <w:bookmarkEnd w:id="23"/>
    <w:p>
      <w:pPr>
        <w:pStyle w:val="BodyText"/>
      </w:pPr>
      <w:r>
        <w:t xml:space="preserve">Dear Mr. El-Sayed,</w:t>
      </w:r>
    </w:p>
    <w:p>
      <w:pPr>
        <w:pStyle w:val="BodyText"/>
      </w:pPr>
      <w:r>
        <w:t xml:space="preserve">Thank you for contacting</w:t>
      </w:r>
      <w:r>
        <w:t xml:space="preserve"> </w:t>
      </w:r>
      <w:r>
        <w:rPr>
          <w:bCs/>
          <w:b/>
        </w:rPr>
        <w:t xml:space="preserve">Cairo Veterinary Care Center</w:t>
      </w:r>
      <w:r>
        <w:t xml:space="preserve"> </w:t>
      </w:r>
      <w:r>
        <w:t xml:space="preserve">for a professional veterinary consultation and treatment plan for your German Shepherd, Rex. Following the initial examination conducted on 12 June 2025 at our clinic in Dokki, Cairo, we are pleased to present this detailed</w:t>
      </w:r>
      <w:r>
        <w:t xml:space="preserve"> </w:t>
      </w:r>
      <w:r>
        <w:rPr>
          <w:bCs/>
          <w:b/>
        </w:rPr>
        <w:t xml:space="preserve">Quotation Estimate</w:t>
      </w:r>
      <w:r>
        <w:t xml:space="preserve"> </w:t>
      </w:r>
      <w:r>
        <w:t xml:space="preserve">outlining the recommended veterinary procedures, diagnostic services, and ongoing care required to restore and maintain your pet's optimal health. This quotation has been prepared in accordance with the standards set by the Egyptian Veterinary Medical Association and reflects current market rates for veterinary services in the Greater Cairo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Procedure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Subtotal (EGP)</w:t>
            </w:r>
          </w:p>
        </w:tc>
      </w:tr>
      <w:tr>
        <w:tc>
          <w:tcPr/>
          <w:p>
            <w:pPr>
              <w:pStyle w:val="Compact"/>
              <w:jc w:val="left"/>
            </w:pPr>
            <w:r>
              <w:t xml:space="preserve">1</w:t>
            </w:r>
          </w:p>
        </w:tc>
        <w:tc>
          <w:tcPr/>
          <w:p>
            <w:pPr>
              <w:pStyle w:val="Compact"/>
              <w:jc w:val="left"/>
            </w:pPr>
            <w:r>
              <w:t xml:space="preserve">Comprehensive Full-Body Physical Examination &amp; Diagnostic Assessment</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Complete Blood Count (CBC) with Differential &amp; Biochemistry Panel</w:t>
            </w:r>
          </w:p>
        </w:tc>
        <w:tc>
          <w:tcPr/>
          <w:p>
            <w:pPr>
              <w:pStyle w:val="Compact"/>
              <w:jc w:val="left"/>
            </w:pPr>
            <w:r>
              <w:t xml:space="preserve">Laboratory</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Digital Radiography (Chest &amp; Abdomen – 4 Views)</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4</w:t>
            </w:r>
          </w:p>
        </w:tc>
        <w:tc>
          <w:tcPr/>
          <w:p>
            <w:pPr>
              <w:pStyle w:val="Compact"/>
              <w:jc w:val="left"/>
            </w:pPr>
            <w:r>
              <w:t xml:space="preserve">Abdominal Ultrasound with Doppler Flow Analysis</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5</w:t>
            </w:r>
          </w:p>
        </w:tc>
        <w:tc>
          <w:tcPr/>
          <w:p>
            <w:pPr>
              <w:pStyle w:val="Compact"/>
              <w:jc w:val="left"/>
            </w:pPr>
            <w:r>
              <w:t xml:space="preserve">Orthopedic Surgical Consultation &amp; Pre-Anesthetic Blood Work</w:t>
            </w:r>
          </w:p>
        </w:tc>
        <w:tc>
          <w:tcPr/>
          <w:p>
            <w:pPr>
              <w:pStyle w:val="Compact"/>
              <w:jc w:val="left"/>
            </w:pPr>
            <w:r>
              <w:t xml:space="preserve">Surgery Prep</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6</w:t>
            </w:r>
          </w:p>
        </w:tc>
        <w:tc>
          <w:tcPr/>
          <w:p>
            <w:pPr>
              <w:pStyle w:val="Compact"/>
              <w:jc w:val="left"/>
            </w:pPr>
            <w:r>
              <w:t xml:space="preserve">TPLO (Tibial Plateau Leveling Osteotomy) Surgery – Bilateral</w:t>
            </w:r>
          </w:p>
        </w:tc>
        <w:tc>
          <w:tcPr/>
          <w:p>
            <w:pPr>
              <w:pStyle w:val="Compact"/>
              <w:jc w:val="left"/>
            </w:pPr>
            <w:r>
              <w:t xml:space="preserve">Surgery</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7</w:t>
            </w:r>
          </w:p>
        </w:tc>
        <w:tc>
          <w:tcPr/>
          <w:p>
            <w:pPr>
              <w:pStyle w:val="Compact"/>
              <w:jc w:val="left"/>
            </w:pPr>
            <w:r>
              <w:t xml:space="preserve">General Anesthesia (Isoflurane) with Continuous Monitoring</w:t>
            </w:r>
          </w:p>
        </w:tc>
        <w:tc>
          <w:tcPr/>
          <w:p>
            <w:pPr>
              <w:pStyle w:val="Compact"/>
              <w:jc w:val="left"/>
            </w:pPr>
            <w:r>
              <w:t xml:space="preserve">Anesthesia</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8</w:t>
            </w:r>
          </w:p>
        </w:tc>
        <w:tc>
          <w:tcPr/>
          <w:p>
            <w:pPr>
              <w:pStyle w:val="Compact"/>
              <w:jc w:val="left"/>
            </w:pPr>
            <w:r>
              <w:t xml:space="preserve">Post-Operative Hospitalization (3 Nights) with IV Fluids &amp; Pain Management</w:t>
            </w:r>
          </w:p>
        </w:tc>
        <w:tc>
          <w:tcPr/>
          <w:p>
            <w:pPr>
              <w:pStyle w:val="Compact"/>
              <w:jc w:val="left"/>
            </w:pPr>
            <w:r>
              <w:t xml:space="preserve">Hospitalization</w:t>
            </w:r>
          </w:p>
        </w:tc>
        <w:tc>
          <w:tcPr/>
          <w:p>
            <w:pPr>
              <w:pStyle w:val="Compact"/>
              <w:jc w:val="left"/>
            </w:pPr>
            <w:r>
              <w:t xml:space="preserve">3</w:t>
            </w:r>
          </w:p>
        </w:tc>
        <w:tc>
          <w:tcPr/>
          <w:p>
            <w:pPr>
              <w:pStyle w:val="Compact"/>
              <w:jc w:val="left"/>
            </w:pPr>
            <w:r>
              <w:t xml:space="preserve">1,400.00</w:t>
            </w:r>
          </w:p>
        </w:tc>
        <w:tc>
          <w:tcPr/>
          <w:p>
            <w:pPr>
              <w:pStyle w:val="Compact"/>
              <w:jc w:val="left"/>
            </w:pPr>
            <w:r>
              <w:t xml:space="preserve">4,200.00</w:t>
            </w:r>
          </w:p>
        </w:tc>
      </w:tr>
      <w:tr>
        <w:tc>
          <w:tcPr/>
          <w:p>
            <w:pPr>
              <w:pStyle w:val="Compact"/>
              <w:jc w:val="left"/>
            </w:pPr>
            <w:r>
              <w:t xml:space="preserve">9</w:t>
            </w:r>
          </w:p>
        </w:tc>
        <w:tc>
          <w:tcPr/>
          <w:p>
            <w:pPr>
              <w:pStyle w:val="Compact"/>
              <w:jc w:val="left"/>
            </w:pPr>
            <w:r>
              <w:t xml:space="preserve">Post-Surgical Medications (Antibiotics, NSAIDs, Gastroprotectants – 14-day supply)</w:t>
            </w:r>
          </w:p>
        </w:tc>
        <w:tc>
          <w:tcPr/>
          <w:p>
            <w:pPr>
              <w:pStyle w:val="Compact"/>
              <w:jc w:val="left"/>
            </w:pPr>
            <w:r>
              <w:t xml:space="preserve">Pharmacy</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10</w:t>
            </w:r>
          </w:p>
        </w:tc>
        <w:tc>
          <w:tcPr/>
          <w:p>
            <w:pPr>
              <w:pStyle w:val="Compact"/>
              <w:jc w:val="left"/>
            </w:pPr>
            <w:r>
              <w:t xml:space="preserve">Follow-Up Veterinary Consultations (Weeks 2, 4, 8, 12) with Radiographic Reassessment</w:t>
            </w:r>
          </w:p>
        </w:tc>
        <w:tc>
          <w:tcPr/>
          <w:p>
            <w:pPr>
              <w:pStyle w:val="Compact"/>
              <w:jc w:val="left"/>
            </w:pPr>
            <w:r>
              <w:t xml:space="preserve">Follow-Up</w:t>
            </w:r>
          </w:p>
        </w:tc>
        <w:tc>
          <w:tcPr/>
          <w:p>
            <w:pPr>
              <w:pStyle w:val="Compact"/>
              <w:jc w:val="left"/>
            </w:pPr>
            <w:r>
              <w:t xml:space="preserve">4</w:t>
            </w:r>
          </w:p>
        </w:tc>
        <w:tc>
          <w:tcPr/>
          <w:p>
            <w:pPr>
              <w:pStyle w:val="Compact"/>
              <w:jc w:val="left"/>
            </w:pPr>
            <w:r>
              <w:t xml:space="preserve">1,100.00</w:t>
            </w:r>
          </w:p>
        </w:tc>
        <w:tc>
          <w:tcPr/>
          <w:p>
            <w:pPr>
              <w:pStyle w:val="Compact"/>
              <w:jc w:val="left"/>
            </w:pPr>
            <w:r>
              <w:t xml:space="preserve">4,400.00</w:t>
            </w:r>
          </w:p>
        </w:tc>
      </w:tr>
      <w:tr>
        <w:tc>
          <w:tcPr/>
          <w:p>
            <w:pPr>
              <w:pStyle w:val="Compact"/>
              <w:jc w:val="left"/>
            </w:pPr>
            <w:r>
              <w:t xml:space="preserve">11</w:t>
            </w:r>
          </w:p>
        </w:tc>
        <w:tc>
          <w:tcPr/>
          <w:p>
            <w:pPr>
              <w:pStyle w:val="Compact"/>
              <w:jc w:val="left"/>
            </w:pPr>
            <w:r>
              <w:t xml:space="preserve">Custom Orthopedic Recovery Harness &amp; Confinement Instructions</w:t>
            </w:r>
          </w:p>
        </w:tc>
        <w:tc>
          <w:tcPr/>
          <w:p>
            <w:pPr>
              <w:pStyle w:val="Compact"/>
              <w:jc w:val="left"/>
            </w:pPr>
            <w:r>
              <w:t xml:space="preserve">Rehabilitation</w:t>
            </w:r>
          </w:p>
        </w:tc>
        <w:tc>
          <w:tcPr/>
          <w:p>
            <w:pPr>
              <w:pStyle w:val="Compact"/>
              <w:jc w:val="left"/>
            </w:pPr>
            <w:r>
              <w:t xml:space="preserve">1</w:t>
            </w:r>
          </w:p>
        </w:tc>
        <w:tc>
          <w:tcPr/>
          <w:p>
            <w:pPr>
              <w:pStyle w:val="Compact"/>
              <w:jc w:val="left"/>
            </w:pPr>
            <w:r>
              <w:t xml:space="preserve">1,600.00</w:t>
            </w:r>
          </w:p>
        </w:tc>
        <w:tc>
          <w:tcPr/>
          <w:p>
            <w:pPr>
              <w:pStyle w:val="Compact"/>
              <w:jc w:val="left"/>
            </w:pPr>
            <w:r>
              <w:t xml:space="preserve">1,600.00</w:t>
            </w:r>
          </w:p>
        </w:tc>
      </w:tr>
      <w:tr>
        <w:tc>
          <w:tcPr/>
          <w:p>
            <w:pPr>
              <w:pStyle w:val="Compact"/>
              <w:jc w:val="left"/>
            </w:pPr>
            <w:r>
              <w:t xml:space="preserve">12</w:t>
            </w:r>
          </w:p>
        </w:tc>
        <w:tc>
          <w:tcPr/>
          <w:p>
            <w:pPr>
              <w:pStyle w:val="Compact"/>
              <w:jc w:val="left"/>
            </w:pPr>
            <w:r>
              <w:t xml:space="preserve">Annual Preventive Package (Vaccinations, Deworming, Microchip Verification)</w:t>
            </w:r>
          </w:p>
        </w:tc>
        <w:tc>
          <w:tcPr/>
          <w:p>
            <w:pPr>
              <w:pStyle w:val="Compact"/>
              <w:jc w:val="left"/>
            </w:pPr>
            <w:r>
              <w:t xml:space="preserve">Preventive</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45,300.00 EGP</w:t>
            </w:r>
          </w:p>
        </w:tc>
      </w:tr>
      <w:tr>
        <w:tc>
          <w:tcPr/>
          <w:p>
            <w:pPr>
              <w:pStyle w:val="Compact"/>
              <w:jc w:val="left"/>
            </w:pPr>
            <w:r>
              <w:t xml:space="preserve">VAT (14% – Egyptian Tax Authority)</w:t>
            </w:r>
          </w:p>
        </w:tc>
        <w:tc>
          <w:tcPr/>
          <w:p>
            <w:pPr>
              <w:pStyle w:val="Compact"/>
              <w:jc w:val="right"/>
            </w:pPr>
            <w:r>
              <w:t xml:space="preserve">6,342.00 EGP</w:t>
            </w:r>
          </w:p>
        </w:tc>
      </w:tr>
      <w:tr>
        <w:tc>
          <w:tcPr/>
          <w:p>
            <w:pPr>
              <w:pStyle w:val="Compact"/>
              <w:jc w:val="left"/>
            </w:pPr>
            <w:r>
              <w:t xml:space="preserve">Emergency After-Hours Surcharge (if applicable)</w:t>
            </w:r>
          </w:p>
        </w:tc>
        <w:tc>
          <w:tcPr/>
          <w:p>
            <w:pPr>
              <w:pStyle w:val="Compact"/>
              <w:jc w:val="right"/>
            </w:pPr>
            <w:r>
              <w:t xml:space="preserve">0.00 EGP</w:t>
            </w:r>
          </w:p>
        </w:tc>
      </w:tr>
      <w:tr>
        <w:tc>
          <w:tcPr/>
          <w:p>
            <w:pPr>
              <w:pStyle w:val="Compact"/>
              <w:jc w:val="left"/>
            </w:pPr>
            <w:r>
              <w:t xml:space="preserve">GRAND TOTAL</w:t>
            </w:r>
          </w:p>
        </w:tc>
        <w:tc>
          <w:tcPr/>
          <w:p>
            <w:pPr>
              <w:pStyle w:val="Compact"/>
              <w:jc w:val="right"/>
            </w:pPr>
            <w:r>
              <w:t xml:space="preserve">51,642.00 EGP</w:t>
            </w:r>
          </w:p>
        </w:tc>
      </w:tr>
    </w:tbl>
    <w:p>
      <w:pPr>
        <w:pStyle w:val="BodyText"/>
      </w:pPr>
      <w:r>
        <w:rPr>
          <w:bCs/>
          <w:b/>
        </w:rPr>
        <w:t xml:space="preserve">Important Note:</w:t>
      </w:r>
      <w:r>
        <w:t xml:space="preserve"> </w:t>
      </w:r>
      <w:r>
        <w:t xml:space="preserve">This Quotation Estimate is based on the clinical findings from the initial examination. Should additional diagnostic procedures or complications arise during the surgical intervention, a supplementary quotation will be issued and communicated to the client prior to any additional treatment. All prices are inclusive of materials, consumables, and veterinary professional fees as regulated by the Egyptian Ministry of Health and Population.</w:t>
      </w:r>
    </w:p>
    <w:bookmarkStart w:id="24"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valid for a period of thirty (30) calendar days from the date of issue. After this period, pricing may be subject to revision based on current pharmaceutical costs and veterinary supply market conditions in Cairo, Egypt.</w:t>
      </w:r>
    </w:p>
    <w:p>
      <w:pPr>
        <w:numPr>
          <w:ilvl w:val="0"/>
          <w:numId w:val="1001"/>
        </w:numPr>
        <w:pStyle w:val="Compact"/>
      </w:pPr>
      <w:r>
        <w:t xml:space="preserve">Payment terms: A deposit of 40% (EGP 20,656.80) is required at the time of acceptance to reserve the surgical schedule. The remaining balance of 60% is due upon discharge from post-operative hospitalization. Payment may be made via bank transfer to Cairo Veterinary Care Center (Bank: CIB, Account: 100-4567-8901), cash, or major credit/debit cards accepted at our Cairo clinic.</w:t>
      </w:r>
    </w:p>
    <w:p>
      <w:pPr>
        <w:numPr>
          <w:ilvl w:val="0"/>
          <w:numId w:val="1001"/>
        </w:numPr>
        <w:pStyle w:val="Compact"/>
      </w:pPr>
      <w:r>
        <w:t xml:space="preserve">All veterinary procedures will be performed by board-certified veterinary surgeons registered with the Egyptian Veterinary Medical Association. The lead surgeon for this case is Dr. Mona Fathy, DVM, PhD (Orthopedic Surgery), with over 15 years of clinical experience in Cairo.</w:t>
      </w:r>
    </w:p>
    <w:p>
      <w:pPr>
        <w:numPr>
          <w:ilvl w:val="0"/>
          <w:numId w:val="1001"/>
        </w:numPr>
        <w:pStyle w:val="Compact"/>
      </w:pPr>
      <w:r>
        <w:t xml:space="preserve">The client acknowledges that surgical procedures, while performed to the highest standard of veterinary care, carry inherent risks including but not limited to anesthetic complications, infection, and delayed healing. A detailed informed consent form will be signed prior to the procedure.</w:t>
      </w:r>
    </w:p>
    <w:p>
      <w:pPr>
        <w:numPr>
          <w:ilvl w:val="0"/>
          <w:numId w:val="1001"/>
        </w:numPr>
        <w:pStyle w:val="Compact"/>
      </w:pPr>
      <w:r>
        <w:t xml:space="preserve">Post-operative care instructions, including restricted activity protocols, dietary recommendations, and medication schedules, will be provided in writing in both Arabic and English upon discharge.</w:t>
      </w:r>
    </w:p>
    <w:p>
      <w:pPr>
        <w:numPr>
          <w:ilvl w:val="0"/>
          <w:numId w:val="1001"/>
        </w:numPr>
        <w:pStyle w:val="Compact"/>
      </w:pPr>
      <w:r>
        <w:t xml:space="preserve">This Quotation Estimate does not include costs for emergency re-intervention should a post-surgical complication necessitate additional veterinary attention beyond the standard recovery period.</w:t>
      </w:r>
    </w:p>
    <w:p>
      <w:pPr>
        <w:numPr>
          <w:ilvl w:val="0"/>
          <w:numId w:val="1001"/>
        </w:numPr>
        <w:pStyle w:val="Compact"/>
      </w:pPr>
      <w:r>
        <w:t xml:space="preserve">Cairo Veterinary Care Center operates in compliance with all applicable Egyptian animal welfare regulations and the Egyptian Environmental and Resources Authority (EERA) guidelines for veterinary waste disposal.</w:t>
      </w:r>
    </w:p>
    <w:p>
      <w:pPr>
        <w:numPr>
          <w:ilvl w:val="0"/>
          <w:numId w:val="1001"/>
        </w:numPr>
        <w:pStyle w:val="Compact"/>
      </w:pPr>
      <w:r>
        <w:t xml:space="preserve">Any disputes arising from this Quotation Estimate shall be governed by the laws of the Arab Republic of Egypt and subject to the jurisdiction of the Cairo courts.</w:t>
      </w:r>
    </w:p>
    <w:bookmarkEnd w:id="24"/>
    <w:p>
      <w:pPr>
        <w:pStyle w:val="FirstParagraph"/>
      </w:pPr>
      <w:r>
        <w:rPr>
          <w:bCs/>
          <w:b/>
        </w:rPr>
        <w:t xml:space="preserve">Prepared By:</w:t>
      </w:r>
    </w:p>
    <w:p>
      <w:pPr>
        <w:pStyle w:val="BodyText"/>
      </w:pPr>
      <w:r>
        <w:t xml:space="preserve">Dr. Mona Fathy, DVM, PhD</w:t>
      </w:r>
    </w:p>
    <w:p>
      <w:pPr>
        <w:pStyle w:val="BodyText"/>
      </w:pPr>
      <w:r>
        <w:t xml:space="preserve">Lead Veterinary Surgeon</w:t>
      </w:r>
    </w:p>
    <w:p>
      <w:pPr>
        <w:pStyle w:val="BodyText"/>
      </w:pPr>
      <w:r>
        <w:t xml:space="preserve">Cairo Veterinary Care Center</w:t>
      </w:r>
    </w:p>
    <w:p>
      <w:pPr>
        <w:pStyle w:val="BodyText"/>
      </w:pPr>
      <w:r>
        <w:t xml:space="preserve">Signature &amp; Date</w:t>
      </w:r>
    </w:p>
    <w:p>
      <w:pPr>
        <w:pStyle w:val="BodyText"/>
      </w:pPr>
      <w:r>
        <w:rPr>
          <w:bCs/>
          <w:b/>
        </w:rPr>
        <w:t xml:space="preserve">Accepted By (Client):</w:t>
      </w:r>
    </w:p>
    <w:p>
      <w:pPr>
        <w:pStyle w:val="BodyText"/>
      </w:pPr>
      <w:r>
        <w:t xml:space="preserve">Mr. Ahmed Hassan El-Sayed</w:t>
      </w:r>
    </w:p>
    <w:p>
      <w:pPr>
        <w:pStyle w:val="BodyText"/>
      </w:pPr>
      <w:r>
        <w:t xml:space="preserve">Owner of "Rex"</w:t>
      </w:r>
    </w:p>
    <w:p>
      <w:pPr>
        <w:pStyle w:val="BodyText"/>
      </w:pPr>
      <w:r>
        <w:t xml:space="preserve">New Cairo, Cairo, Egypt</w:t>
      </w:r>
    </w:p>
    <w:p>
      <w:pPr>
        <w:pStyle w:val="BodyText"/>
      </w:pPr>
      <w:r>
        <w:t xml:space="preserve">Signature &amp; Date</w:t>
      </w:r>
    </w:p>
    <w:p>
      <w:pPr>
        <w:pStyle w:val="BodyText"/>
      </w:pPr>
      <w:r>
        <w:t xml:space="preserve">Cairo Veterinary Care Center | 127 El Tahrir Street, Dokki, Giza, Cairo, Egypt</w:t>
      </w:r>
    </w:p>
    <w:p>
      <w:pPr>
        <w:pStyle w:val="BodyText"/>
      </w:pPr>
      <w:r>
        <w:t xml:space="preserve">Tel: +20 2 3336 8899 | Mobile: +20 100 222 3344 | Email: info@cairovetcare.eg</w:t>
      </w:r>
    </w:p>
    <w:p>
      <w:pPr>
        <w:pStyle w:val="BodyText"/>
      </w:pPr>
      <w:r>
        <w:t xml:space="preserve">Open: Monday – Saturday, 8:00 AM – 10:00 PM | Emergency: 24/7</w:t>
      </w:r>
    </w:p>
    <w:p>
      <w:pPr>
        <w:pStyle w:val="BodyText"/>
      </w:pPr>
      <w:r>
        <w:t xml:space="preserve">Registered with the Egyptian Ministry of Agriculture – Veterinary Services Directorate | Tax ID: 552-889-1234</w:t>
      </w:r>
    </w:p>
    <w:p>
      <w:pPr>
        <w:pStyle w:val="BodyText"/>
      </w:pPr>
      <w:r>
        <w:t xml:space="preserve">This Quotation Estimate is a formal document issued by Cairo Veterinary Care Center and does not constitute a binding contract until signed and countersigned by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Cairo Veterinary Clinic</dc:title>
  <dc:creator/>
  <dc:language>en</dc:language>
  <cp:keywords/>
  <dcterms:created xsi:type="dcterms:W3CDTF">2026-10-10T07:23:16Z</dcterms:created>
  <dcterms:modified xsi:type="dcterms:W3CDTF">2026-10-10T07:23:16Z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