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X2a9abf1dc7dc20a3adfadefcfc195e6e5dc1353"/>
    <w:p>
      <w:pPr>
        <w:pStyle w:val="Heading1"/>
      </w:pPr>
      <w:r>
        <w:t xml:space="preserve">Frankfurt Tierklinik &amp; Veterinary Care Center</w:t>
      </w:r>
    </w:p>
    <w:p>
      <w:pPr>
        <w:pStyle w:val="FirstParagraph"/>
      </w:pPr>
      <w:r>
        <w:t xml:space="preserve">Wiesbadenstraße 142, 60329 Frankfurt am Main, Germany</w:t>
      </w:r>
    </w:p>
    <w:p>
      <w:pPr>
        <w:pStyle w:val="BodyText"/>
      </w:pPr>
      <w:r>
        <w:t xml:space="preserve">Phone: +49 (0)69 4455 8821 | Email: info@frankfurt-vetcare.de</w:t>
      </w:r>
    </w:p>
    <w:p>
      <w:pPr>
        <w:pStyle w:val="BodyText"/>
      </w:pPr>
      <w:r>
        <w:t xml:space="preserve">USt-IdNr.: DE 298 445 671 | Licensed Veterinarian Practice – Hessen State Registry No. HES-VET-2019-0847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QE-2025-FRA-03847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med. vet. Sabine Hartmann, DVM</w:t>
      </w:r>
    </w:p>
    <w:p>
      <w:pPr>
        <w:pStyle w:val="BodyText"/>
      </w:pPr>
      <w:r>
        <w:t xml:space="preserve">Germany Frankfurt – Official Estimate</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Thomas Berger</w:t>
      </w:r>
    </w:p>
    <w:p>
      <w:pPr>
        <w:pStyle w:val="BodyText"/>
      </w:pPr>
      <w:r>
        <w:rPr>
          <w:bCs/>
          <w:b/>
        </w:rPr>
        <w:t xml:space="preserve">Address:</w:t>
      </w:r>
      <w:r>
        <w:t xml:space="preserve"> </w:t>
      </w:r>
      <w:r>
        <w:t xml:space="preserve">Bockenheimer Landstraße 88, 60323 Frankfurt am Main, Germany</w:t>
      </w:r>
    </w:p>
    <w:p>
      <w:pPr>
        <w:pStyle w:val="BodyText"/>
      </w:pPr>
      <w:r>
        <w:rPr>
          <w:bCs/>
          <w:b/>
        </w:rPr>
        <w:t xml:space="preserve">Phone:</w:t>
      </w:r>
      <w:r>
        <w:t xml:space="preserve"> </w:t>
      </w:r>
      <w:r>
        <w:t xml:space="preserve">+49 (0)69 7712 3345</w:t>
      </w:r>
    </w:p>
    <w:p>
      <w:pPr>
        <w:pStyle w:val="BodyText"/>
      </w:pPr>
      <w:r>
        <w:rPr>
          <w:bCs/>
          <w:b/>
        </w:rPr>
        <w:t xml:space="preserve">Email:</w:t>
      </w:r>
      <w:r>
        <w:t xml:space="preserve"> </w:t>
      </w:r>
      <w:r>
        <w:t xml:space="preserve">t.berger@email.de</w:t>
      </w:r>
    </w:p>
    <w:p>
      <w:pPr>
        <w:pStyle w:val="BodyText"/>
      </w:pPr>
      <w:r>
        <w:rPr>
          <w:bCs/>
          <w:b/>
        </w:rPr>
        <w:t xml:space="preserve">Pet:</w:t>
      </w:r>
      <w:r>
        <w:t xml:space="preserve"> </w:t>
      </w:r>
      <w:r>
        <w:t xml:space="preserve">"Luna" – German Shepherd, 4 years, Female</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our Veterinarian team at Frankfurt Tierklinik &amp; Veterinary Care Center to provide Mr. Thomas Berger with a comprehensive, transparent, and itemized cost breakdown for the planned veterinary treatment and ongoing care of his German Shepherd, Luna. As a licensed Veterinarian practice operating in Germany Frankfurt, we are committed to delivering the highest standard of animal healthcare in accordance with the German Veterinary Act (Tierärztegesetz) and the professional guidelines of the Bundesverband Tierärzte (BVT). This document serves as a formal Quotation Estimate and does not constitute a binding invoice until explicitly accepted by the client in writing.</w:t>
      </w:r>
    </w:p>
    <w:bookmarkEnd w:id="23"/>
    <w:bookmarkStart w:id="24" w:name="scope-of-veterinary-services"/>
    <w:p>
      <w:pPr>
        <w:pStyle w:val="Heading2"/>
      </w:pPr>
      <w:r>
        <w:t xml:space="preserve">2. Scope of Veterinary Services</w:t>
      </w:r>
    </w:p>
    <w:p>
      <w:pPr>
        <w:pStyle w:val="FirstParagraph"/>
      </w:pPr>
      <w:r>
        <w:t xml:space="preserve">Following the initial diagnostic consultation conducted on 10 June 2025 at our Germany Frankfurt clinic, our Veterinarian specialists have identified the need for a multi-phase treatment plan. The services outlined in this Quotation Estimate encompass orthopedic surgery, post-operative rehabilitation, diagnostic imaging, and a twelve-week follow-up care program. All procedures will be performed by board-certified Veterinarian surgeons and support staff within our fully equipped surgical and diagnostic facilities in Frankfurt am Main.</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Pre-operative blood panel, biochemistry, and coagulation screening (Veterinarian laboratory)</w:t>
            </w:r>
          </w:p>
        </w:tc>
        <w:tc>
          <w:tcPr/>
          <w:p>
            <w:pPr>
              <w:pStyle w:val="Compact"/>
              <w:jc w:val="left"/>
            </w:pPr>
            <w:r>
              <w:t xml:space="preserve">1 session</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2</w:t>
            </w:r>
          </w:p>
        </w:tc>
        <w:tc>
          <w:tcPr/>
          <w:p>
            <w:pPr>
              <w:pStyle w:val="Compact"/>
              <w:jc w:val="left"/>
            </w:pPr>
            <w:r>
              <w:t xml:space="preserve">Digital radiography (4 views) and CT scan of the left hind limb</w:t>
            </w:r>
          </w:p>
        </w:tc>
        <w:tc>
          <w:tcPr/>
          <w:p>
            <w:pPr>
              <w:pStyle w:val="Compact"/>
              <w:jc w:val="left"/>
            </w:pPr>
            <w:r>
              <w:t xml:space="preserve">1 session</w:t>
            </w:r>
          </w:p>
        </w:tc>
        <w:tc>
          <w:tcPr/>
          <w:p>
            <w:pPr>
              <w:pStyle w:val="Compact"/>
              <w:jc w:val="left"/>
            </w:pPr>
            <w:r>
              <w:t xml:space="preserve">€ 420.00</w:t>
            </w:r>
          </w:p>
        </w:tc>
        <w:tc>
          <w:tcPr/>
          <w:p>
            <w:pPr>
              <w:pStyle w:val="Compact"/>
              <w:jc w:val="left"/>
            </w:pPr>
            <w:r>
              <w:t xml:space="preserve">€ 420.00</w:t>
            </w:r>
          </w:p>
        </w:tc>
      </w:tr>
      <w:tr>
        <w:tc>
          <w:tcPr/>
          <w:p>
            <w:pPr>
              <w:pStyle w:val="Compact"/>
              <w:jc w:val="left"/>
            </w:pPr>
            <w:r>
              <w:t xml:space="preserve">3</w:t>
            </w:r>
          </w:p>
        </w:tc>
        <w:tc>
          <w:tcPr/>
          <w:p>
            <w:pPr>
              <w:pStyle w:val="Compact"/>
              <w:jc w:val="left"/>
            </w:pPr>
            <w:r>
              <w:t xml:space="preserve">General anesthesia, intubation, and intra-operative monitoring (Veterinarian anesthesiology team)</w:t>
            </w:r>
          </w:p>
        </w:tc>
        <w:tc>
          <w:tcPr/>
          <w:p>
            <w:pPr>
              <w:pStyle w:val="Compact"/>
              <w:jc w:val="left"/>
            </w:pPr>
            <w:r>
              <w:t xml:space="preserve">1 procedure</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4</w:t>
            </w:r>
          </w:p>
        </w:tc>
        <w:tc>
          <w:tcPr/>
          <w:p>
            <w:pPr>
              <w:pStyle w:val="Compact"/>
              <w:jc w:val="left"/>
            </w:pPr>
            <w:r>
              <w:t xml:space="preserve">TPLO (Tibial Plateau Leveling Osteotomy) surgery – left stifle joint</w:t>
            </w:r>
          </w:p>
        </w:tc>
        <w:tc>
          <w:tcPr/>
          <w:p>
            <w:pPr>
              <w:pStyle w:val="Compact"/>
              <w:jc w:val="left"/>
            </w:pPr>
            <w:r>
              <w:t xml:space="preserve">1 procedure</w:t>
            </w:r>
          </w:p>
        </w:tc>
        <w:tc>
          <w:tcPr/>
          <w:p>
            <w:pPr>
              <w:pStyle w:val="Compact"/>
              <w:jc w:val="left"/>
            </w:pPr>
            <w:r>
              <w:t xml:space="preserve">€ 2,850.00</w:t>
            </w:r>
          </w:p>
        </w:tc>
        <w:tc>
          <w:tcPr/>
          <w:p>
            <w:pPr>
              <w:pStyle w:val="Compact"/>
              <w:jc w:val="left"/>
            </w:pPr>
            <w:r>
              <w:t xml:space="preserve">€ 2,850.00</w:t>
            </w:r>
          </w:p>
        </w:tc>
      </w:tr>
      <w:tr>
        <w:tc>
          <w:tcPr/>
          <w:p>
            <w:pPr>
              <w:pStyle w:val="Compact"/>
              <w:jc w:val="left"/>
            </w:pPr>
            <w:r>
              <w:t xml:space="preserve">5</w:t>
            </w:r>
          </w:p>
        </w:tc>
        <w:tc>
          <w:tcPr/>
          <w:p>
            <w:pPr>
              <w:pStyle w:val="Compact"/>
              <w:jc w:val="left"/>
            </w:pPr>
            <w:r>
              <w:t xml:space="preserve">Surgical implants: TPLO plate, screws, and K-wires (premium orthopedic hardware)</w:t>
            </w:r>
          </w:p>
        </w:tc>
        <w:tc>
          <w:tcPr/>
          <w:p>
            <w:pPr>
              <w:pStyle w:val="Compact"/>
              <w:jc w:val="left"/>
            </w:pPr>
            <w:r>
              <w:t xml:space="preserve">1 set</w:t>
            </w:r>
          </w:p>
        </w:tc>
        <w:tc>
          <w:tcPr/>
          <w:p>
            <w:pPr>
              <w:pStyle w:val="Compact"/>
              <w:jc w:val="left"/>
            </w:pPr>
            <w:r>
              <w:t xml:space="preserve">€ 680.00</w:t>
            </w:r>
          </w:p>
        </w:tc>
        <w:tc>
          <w:tcPr/>
          <w:p>
            <w:pPr>
              <w:pStyle w:val="Compact"/>
              <w:jc w:val="left"/>
            </w:pPr>
            <w:r>
              <w:t xml:space="preserve">€ 680.00</w:t>
            </w:r>
          </w:p>
        </w:tc>
      </w:tr>
      <w:tr>
        <w:tc>
          <w:tcPr/>
          <w:p>
            <w:pPr>
              <w:pStyle w:val="Compact"/>
              <w:jc w:val="left"/>
            </w:pPr>
            <w:r>
              <w:t xml:space="preserve">6</w:t>
            </w:r>
          </w:p>
        </w:tc>
        <w:tc>
          <w:tcPr/>
          <w:p>
            <w:pPr>
              <w:pStyle w:val="Compact"/>
              <w:jc w:val="left"/>
            </w:pPr>
            <w:r>
              <w:t xml:space="preserve">Post-operative hospitalization and intensive care (24-hour monitoring, IV fluids, analgesia)</w:t>
            </w:r>
          </w:p>
        </w:tc>
        <w:tc>
          <w:tcPr/>
          <w:p>
            <w:pPr>
              <w:pStyle w:val="Compact"/>
              <w:jc w:val="left"/>
            </w:pPr>
            <w:r>
              <w:t xml:space="preserve">3 nights</w:t>
            </w:r>
          </w:p>
        </w:tc>
        <w:tc>
          <w:tcPr/>
          <w:p>
            <w:pPr>
              <w:pStyle w:val="Compact"/>
              <w:jc w:val="left"/>
            </w:pPr>
            <w:r>
              <w:t xml:space="preserve">€ 295.00</w:t>
            </w:r>
          </w:p>
        </w:tc>
        <w:tc>
          <w:tcPr/>
          <w:p>
            <w:pPr>
              <w:pStyle w:val="Compact"/>
              <w:jc w:val="left"/>
            </w:pPr>
            <w:r>
              <w:t xml:space="preserve">€ 885.00</w:t>
            </w:r>
          </w:p>
        </w:tc>
      </w:tr>
      <w:tr>
        <w:tc>
          <w:tcPr/>
          <w:p>
            <w:pPr>
              <w:pStyle w:val="Compact"/>
              <w:jc w:val="left"/>
            </w:pPr>
            <w:r>
              <w:t xml:space="preserve">7</w:t>
            </w:r>
          </w:p>
        </w:tc>
        <w:tc>
          <w:tcPr/>
          <w:p>
            <w:pPr>
              <w:pStyle w:val="Compact"/>
              <w:jc w:val="left"/>
            </w:pPr>
            <w:r>
              <w:t xml:space="preserve">Post-operative medications: NSAIDs, antibiotics, and gastroprotective agents (14-day supply)</w:t>
            </w:r>
          </w:p>
        </w:tc>
        <w:tc>
          <w:tcPr/>
          <w:p>
            <w:pPr>
              <w:pStyle w:val="Compact"/>
              <w:jc w:val="left"/>
            </w:pPr>
            <w:r>
              <w:t xml:space="preserve">1 course</w:t>
            </w:r>
          </w:p>
        </w:tc>
        <w:tc>
          <w:tcPr/>
          <w:p>
            <w:pPr>
              <w:pStyle w:val="Compact"/>
              <w:jc w:val="left"/>
            </w:pPr>
            <w:r>
              <w:t xml:space="preserve">€ 145.00</w:t>
            </w:r>
          </w:p>
        </w:tc>
        <w:tc>
          <w:tcPr/>
          <w:p>
            <w:pPr>
              <w:pStyle w:val="Compact"/>
              <w:jc w:val="left"/>
            </w:pPr>
            <w:r>
              <w:t xml:space="preserve">€ 145.00</w:t>
            </w:r>
          </w:p>
        </w:tc>
      </w:tr>
      <w:tr>
        <w:tc>
          <w:tcPr/>
          <w:p>
            <w:pPr>
              <w:pStyle w:val="Compact"/>
              <w:jc w:val="left"/>
            </w:pPr>
            <w:r>
              <w:t xml:space="preserve">8</w:t>
            </w:r>
          </w:p>
        </w:tc>
        <w:tc>
          <w:tcPr/>
          <w:p>
            <w:pPr>
              <w:pStyle w:val="Compact"/>
              <w:jc w:val="left"/>
            </w:pPr>
            <w:r>
              <w:t xml:space="preserve">Follow-up consultations with the treating Veterinarian (weeks 2, 6, and 12)</w:t>
            </w:r>
          </w:p>
        </w:tc>
        <w:tc>
          <w:tcPr/>
          <w:p>
            <w:pPr>
              <w:pStyle w:val="Compact"/>
              <w:jc w:val="left"/>
            </w:pPr>
            <w:r>
              <w:t xml:space="preserve">3 visits</w:t>
            </w:r>
          </w:p>
        </w:tc>
        <w:tc>
          <w:tcPr/>
          <w:p>
            <w:pPr>
              <w:pStyle w:val="Compact"/>
              <w:jc w:val="left"/>
            </w:pPr>
            <w:r>
              <w:t xml:space="preserve">€ 95.00</w:t>
            </w:r>
          </w:p>
        </w:tc>
        <w:tc>
          <w:tcPr/>
          <w:p>
            <w:pPr>
              <w:pStyle w:val="Compact"/>
              <w:jc w:val="left"/>
            </w:pPr>
            <w:r>
              <w:t xml:space="preserve">€ 285.00</w:t>
            </w:r>
          </w:p>
        </w:tc>
      </w:tr>
      <w:tr>
        <w:tc>
          <w:tcPr/>
          <w:p>
            <w:pPr>
              <w:pStyle w:val="Compact"/>
              <w:jc w:val="left"/>
            </w:pPr>
            <w:r>
              <w:t xml:space="preserve">9</w:t>
            </w:r>
          </w:p>
        </w:tc>
        <w:tc>
          <w:tcPr/>
          <w:p>
            <w:pPr>
              <w:pStyle w:val="Compact"/>
              <w:jc w:val="left"/>
            </w:pPr>
            <w:r>
              <w:t xml:space="preserve">Post-operative radiographic control (2 views at week 6 and week 12)</w:t>
            </w:r>
          </w:p>
        </w:tc>
        <w:tc>
          <w:tcPr/>
          <w:p>
            <w:pPr>
              <w:pStyle w:val="Compact"/>
              <w:jc w:val="left"/>
            </w:pPr>
            <w:r>
              <w:t xml:space="preserve">2 sessions</w:t>
            </w:r>
          </w:p>
        </w:tc>
        <w:tc>
          <w:tcPr/>
          <w:p>
            <w:pPr>
              <w:pStyle w:val="Compact"/>
              <w:jc w:val="left"/>
            </w:pPr>
            <w:r>
              <w:t xml:space="preserve">€ 120.00</w:t>
            </w:r>
          </w:p>
        </w:tc>
        <w:tc>
          <w:tcPr/>
          <w:p>
            <w:pPr>
              <w:pStyle w:val="Compact"/>
              <w:jc w:val="left"/>
            </w:pPr>
            <w:r>
              <w:t xml:space="preserve">€ 240.00</w:t>
            </w:r>
          </w:p>
        </w:tc>
      </w:tr>
      <w:tr>
        <w:tc>
          <w:tcPr/>
          <w:p>
            <w:pPr>
              <w:pStyle w:val="Compact"/>
              <w:jc w:val="left"/>
            </w:pPr>
            <w:r>
              <w:t xml:space="preserve">10</w:t>
            </w:r>
          </w:p>
        </w:tc>
        <w:tc>
          <w:tcPr/>
          <w:p>
            <w:pPr>
              <w:pStyle w:val="Compact"/>
              <w:jc w:val="left"/>
            </w:pPr>
            <w:r>
              <w:t xml:space="preserve">Guided physiotherapy and controlled exercise program (Germany Frankfurt rehabilitation center)</w:t>
            </w:r>
          </w:p>
        </w:tc>
        <w:tc>
          <w:tcPr/>
          <w:p>
            <w:pPr>
              <w:pStyle w:val="Compact"/>
              <w:jc w:val="left"/>
            </w:pPr>
            <w:r>
              <w:t xml:space="preserve">8 sessions</w:t>
            </w:r>
          </w:p>
        </w:tc>
        <w:tc>
          <w:tcPr/>
          <w:p>
            <w:pPr>
              <w:pStyle w:val="Compact"/>
              <w:jc w:val="left"/>
            </w:pPr>
            <w:r>
              <w:t xml:space="preserve">€ 75.00</w:t>
            </w:r>
          </w:p>
        </w:tc>
        <w:tc>
          <w:tcPr/>
          <w:p>
            <w:pPr>
              <w:pStyle w:val="Compact"/>
              <w:jc w:val="left"/>
            </w:pPr>
            <w:r>
              <w:t xml:space="preserve">€ 600.00</w:t>
            </w:r>
          </w:p>
        </w:tc>
      </w:tr>
      <w:tr>
        <w:tc>
          <w:tcPr/>
          <w:p>
            <w:pPr>
              <w:pStyle w:val="Compact"/>
              <w:jc w:val="left"/>
            </w:pPr>
            <w:r>
              <w:t xml:space="preserve">11</w:t>
            </w:r>
          </w:p>
        </w:tc>
        <w:tc>
          <w:tcPr/>
          <w:p>
            <w:pPr>
              <w:pStyle w:val="Compact"/>
              <w:jc w:val="left"/>
            </w:pPr>
            <w:r>
              <w:t xml:space="preserve">Emergency after-hours consultation line (12-month access, Germany Frankfurt coverage)</w:t>
            </w:r>
          </w:p>
        </w:tc>
        <w:tc>
          <w:tcPr/>
          <w:p>
            <w:pPr>
              <w:pStyle w:val="Compact"/>
              <w:jc w:val="left"/>
            </w:pPr>
            <w:r>
              <w:t xml:space="preserve">1 year</w:t>
            </w:r>
          </w:p>
        </w:tc>
        <w:tc>
          <w:tcPr/>
          <w:p>
            <w:pPr>
              <w:pStyle w:val="Compact"/>
              <w:jc w:val="left"/>
            </w:pPr>
            <w:r>
              <w:t xml:space="preserve">€ 120.00</w:t>
            </w:r>
          </w:p>
        </w:tc>
        <w:tc>
          <w:tcPr/>
          <w:p>
            <w:pPr>
              <w:pStyle w:val="Compact"/>
              <w:jc w:val="left"/>
            </w:pPr>
            <w:r>
              <w:t xml:space="preserve">€ 120.00</w:t>
            </w:r>
          </w:p>
        </w:tc>
      </w:tr>
      <w:tr>
        <w:tc>
          <w:tcPr>
            <w:gridSpan w:val="4"/>
          </w:tcPr>
          <w:p>
            <w:pPr>
              <w:pStyle w:val="Compact"/>
              <w:jc w:val="left"/>
            </w:pPr>
            <w:r>
              <w:t xml:space="preserve">Subtotal (excl. VAT)</w:t>
            </w:r>
          </w:p>
        </w:tc>
        <w:tc>
          <w:tcPr/>
          <w:p>
            <w:pPr>
              <w:pStyle w:val="Compact"/>
              <w:jc w:val="left"/>
            </w:pPr>
            <w:r>
              <w:t xml:space="preserve">€ 6,760.00</w:t>
            </w:r>
          </w:p>
        </w:tc>
      </w:tr>
      <w:tr>
        <w:tc>
          <w:tcPr>
            <w:gridSpan w:val="4"/>
          </w:tcPr>
          <w:p>
            <w:pPr>
              <w:pStyle w:val="Compact"/>
              <w:jc w:val="left"/>
            </w:pPr>
            <w:r>
              <w:t xml:space="preserve">VAT (19% – German standard rate)</w:t>
            </w:r>
          </w:p>
        </w:tc>
        <w:tc>
          <w:tcPr/>
          <w:p>
            <w:pPr>
              <w:pStyle w:val="Compact"/>
              <w:jc w:val="left"/>
            </w:pPr>
            <w:r>
              <w:t xml:space="preserve">€ 1,284.40</w:t>
            </w:r>
          </w:p>
        </w:tc>
      </w:tr>
      <w:tr>
        <w:tc>
          <w:tcPr>
            <w:gridSpan w:val="4"/>
          </w:tcPr>
          <w:p>
            <w:pPr>
              <w:pStyle w:val="Compact"/>
              <w:jc w:val="left"/>
            </w:pPr>
            <w:r>
              <w:rPr>
                <w:bCs/>
                <w:b/>
              </w:rPr>
              <w:t xml:space="preserve">Grand Total (incl. VAT)</w:t>
            </w:r>
          </w:p>
        </w:tc>
        <w:tc>
          <w:tcPr/>
          <w:p>
            <w:pPr>
              <w:pStyle w:val="Compact"/>
              <w:jc w:val="left"/>
            </w:pPr>
            <w:r>
              <w:rPr>
                <w:bCs/>
                <w:b/>
              </w:rPr>
              <w:t xml:space="preserve">€ 8,044.40</w:t>
            </w:r>
          </w:p>
        </w:tc>
      </w:tr>
    </w:tbl>
    <w:bookmarkEnd w:id="25"/>
    <w:bookmarkStart w:id="26"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After the expiry date, prices may be subject to revision due to changes in material costs, labor rates, or regulatory adjustments applicable to Veterinarian practices in Germany Frankfurt.</w:t>
      </w:r>
    </w:p>
    <w:p>
      <w:pPr>
        <w:pStyle w:val="BodyText"/>
      </w:pPr>
      <w:r>
        <w:rPr>
          <w:bCs/>
          <w:b/>
        </w:rPr>
        <w:t xml:space="preserve">4.2 Acceptance:</w:t>
      </w:r>
      <w:r>
        <w:t xml:space="preserve"> </w:t>
      </w:r>
      <w:r>
        <w:t xml:space="preserve">The client must sign and return a copy of this Quotation Estimate to confirm acceptance. No surgical or diagnostic procedure will commence until written authorization and a minimum deposit of 30% (€ 2,413.32) have been received by our Germany Frankfurt office.</w:t>
      </w:r>
    </w:p>
    <w:p>
      <w:pPr>
        <w:pStyle w:val="BodyText"/>
      </w:pPr>
      <w:r>
        <w:rPr>
          <w:bCs/>
          <w:b/>
        </w:rPr>
        <w:t xml:space="preserve">4.3 Payment Schedule:</w:t>
      </w:r>
      <w:r>
        <w:t xml:space="preserve"> </w:t>
      </w:r>
      <w:r>
        <w:t xml:space="preserve">The remaining balance is due within fourteen (14) days following the completion of the final follow-up consultation. Payment may be made via bank transfer (IBAN: DE44 5001 0517 0000 0000 00), SEPA direct debit, or credit card. A 1.5% surcharge applies to credit card transactions.</w:t>
      </w:r>
    </w:p>
    <w:p>
      <w:pPr>
        <w:pStyle w:val="BodyText"/>
      </w:pPr>
      <w:r>
        <w:rPr>
          <w:bCs/>
          <w:b/>
        </w:rPr>
        <w:t xml:space="preserve">4.4 Cancellation:</w:t>
      </w:r>
      <w:r>
        <w:t xml:space="preserve"> </w:t>
      </w:r>
      <w:r>
        <w:t xml:space="preserve">Cancellation of the scheduled surgery must be communicated in writing at least seventy-two (72) hours prior to the procedure. In the event of cancellation within 72 hours, a fee of 25% of the total Quotation Estimate amount will be charged to cover reserved operating room time and staff allocation.</w:t>
      </w:r>
    </w:p>
    <w:p>
      <w:pPr>
        <w:pStyle w:val="BodyText"/>
      </w:pPr>
      <w:r>
        <w:rPr>
          <w:bCs/>
          <w:b/>
        </w:rPr>
        <w:t xml:space="preserve">4.5 Medical Necessity:</w:t>
      </w:r>
      <w:r>
        <w:t xml:space="preserve"> </w:t>
      </w:r>
      <w:r>
        <w:t xml:space="preserve">The treating Veterinarian reserves the right to modify the treatment plan intra-operatively if unforeseen anatomical findings necessitate additional or alternative interventions. Any such modifications will be documented, communicated to the client's authorized representative, and added to the final invoice with a separate line-item description.</w:t>
      </w:r>
    </w:p>
    <w:p>
      <w:pPr>
        <w:pStyle w:val="BodyText"/>
      </w:pPr>
      <w:r>
        <w:rPr>
          <w:bCs/>
          <w:b/>
        </w:rPr>
        <w:t xml:space="preserve">4.6 Data Protection:</w:t>
      </w:r>
      <w:r>
        <w:t xml:space="preserve"> </w:t>
      </w:r>
      <w:r>
        <w:t xml:space="preserve">All client and patient data are processed in strict compliance with the European General Data Protection Regulation (GDPR) and the German Federal Data Protection Act (BDSG). Medical records are retained for a minimum of ten years as required by the Hessen veterinary licensing authority.</w:t>
      </w:r>
    </w:p>
    <w:p>
      <w:pPr>
        <w:pStyle w:val="BodyText"/>
      </w:pPr>
      <w:r>
        <w:rPr>
          <w:bCs/>
          <w:b/>
        </w:rPr>
        <w:t xml:space="preserve">4.7 Governing Law:</w:t>
      </w:r>
      <w:r>
        <w:t xml:space="preserve"> </w:t>
      </w:r>
      <w:r>
        <w:t xml:space="preserve">This Quotation Estimate and any resulting contractual relationship shall be governed by the laws of the Federal Republic of Germany. Jurisdiction for any disputes shall lie exclusively with the competent courts of Frankfurt am Main, Germany.</w:t>
      </w:r>
    </w:p>
    <w:bookmarkEnd w:id="26"/>
    <w:bookmarkStart w:id="27" w:name="Xdb0ea961b6beb05b61d0e58f3ec1b3229c70ce6"/>
    <w:p>
      <w:pPr>
        <w:pStyle w:val="Heading2"/>
      </w:pPr>
      <w:r>
        <w:t xml:space="preserve">5. Additional Notes from the Treating Veterinarian</w:t>
      </w:r>
    </w:p>
    <w:p>
      <w:pPr>
        <w:pStyle w:val="FirstParagraph"/>
      </w:pPr>
      <w:r>
        <w:t xml:space="preserve">Dear Mr. Berger, I would like to personally assure you that our entire Veterinarian team in Germany Frankfurt is fully committed to providing Luna with the safest and most effective surgical outcome possible. The TPLO procedure we have recommended is the current gold standard for cranial cruciate ligament rupture in medium-to-large breed dogs, with a long-term success rate exceeding 90% when combined with structured post-operative rehabilitation. I am available for any further questions you may have regarding this Quotation Estimate or the proposed treatment plan. Please do not hesitate to contact our reception at +49 (0)69 4455 8821 or schedule a follow-up consultation at your earliest convenience.</w:t>
      </w:r>
    </w:p>
    <w:p>
      <w:pPr>
        <w:pStyle w:val="BodyText"/>
      </w:pPr>
      <w:r>
        <w:rPr>
          <w:bCs/>
          <w:b/>
        </w:rPr>
        <w:t xml:space="preserve">For Frankfurt Tierklinik &amp; Veterinary Care Center</w:t>
      </w:r>
      <w:r>
        <w:br/>
      </w:r>
      <w:r>
        <w:t xml:space="preserve">Dr. med. vet. Sabine Hartmann, DVM</w:t>
      </w:r>
      <w:r>
        <w:br/>
      </w:r>
      <w:r>
        <w:t xml:space="preserve">Lead Veterinarian – Orthopedic Surgery</w:t>
      </w:r>
      <w:r>
        <w:br/>
      </w:r>
      <w:r>
        <w:t xml:space="preserve">Date: _______________</w:t>
      </w:r>
    </w:p>
    <w:p>
      <w:pPr>
        <w:pStyle w:val="BodyText"/>
      </w:pPr>
      <w:r>
        <w:rPr>
          <w:bCs/>
          <w:b/>
        </w:rPr>
        <w:t xml:space="preserve">Client Acknowledgment &amp; Acceptance</w:t>
      </w:r>
      <w:r>
        <w:br/>
      </w:r>
      <w:r>
        <w:t xml:space="preserve">Mr. Thomas Berger</w:t>
      </w:r>
      <w:r>
        <w:br/>
      </w:r>
      <w:r>
        <w:t xml:space="preserve">Signature: _______________</w:t>
      </w:r>
      <w:r>
        <w:br/>
      </w:r>
      <w:r>
        <w:t xml:space="preserve">Date: _______________</w:t>
      </w:r>
    </w:p>
    <w:p>
      <w:pPr>
        <w:pStyle w:val="BodyText"/>
      </w:pPr>
      <w:r>
        <w:t xml:space="preserve">Frankfurt Tierklinik &amp; Veterinary Care Center | Wiesbadenstraße 142, 60329 Frankfurt am Main, Germany</w:t>
      </w:r>
    </w:p>
    <w:p>
      <w:pPr>
        <w:pStyle w:val="BodyText"/>
      </w:pPr>
      <w:r>
        <w:t xml:space="preserve">This Quotation Estimate was generated on 14 June 2025. Document reference: QE-2025-FRA-03847. All prices are in Euro (EUR) and include applicable German VAT unless otherwise stated.</w:t>
      </w:r>
    </w:p>
    <w:p>
      <w:pPr>
        <w:pStyle w:val="BodyText"/>
      </w:pPr>
      <w:r>
        <w:t xml:space="preserve">© 2025 Frankfurt Tierklinik &amp; Veterinary Care Center. All rights reserved. Licensed Veterinarian practice registered with the Veterinärkammer Hessen.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Germany Frankfurt</dc:title>
  <dc:creator/>
  <dc:language>en</dc:language>
  <cp:keywords/>
  <dcterms:created xsi:type="dcterms:W3CDTF">2026-10-10T06:23:34Z</dcterms:created>
  <dcterms:modified xsi:type="dcterms:W3CDTF">2026-10-10T06:23:34Z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