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quotation-estimate"/>
    <w:p>
      <w:pPr>
        <w:pStyle w:val="Heading1"/>
      </w:pPr>
      <w:r>
        <w:t xml:space="preserve">QUOTATION ESTIMATE</w:t>
      </w:r>
    </w:p>
    <w:bookmarkStart w:id="20" w:name="X6969ae8e7d037e6d397a73729702c56da548006"/>
    <w:p>
      <w:pPr>
        <w:pStyle w:val="Heading2"/>
      </w:pPr>
      <w:r>
        <w:t xml:space="preserve">Videographer Services — United Arab Emirates Dubai</w:t>
      </w:r>
    </w:p>
    <w:p>
      <w:pPr>
        <w:pStyle w:val="FirstParagraph"/>
      </w:pPr>
      <w:r>
        <w:t xml:space="preserve">Professional Video Production &amp; Cinematic Content Creation</w:t>
      </w:r>
    </w:p>
    <w:bookmarkEnd w:id="20"/>
    <w:bookmarkEnd w:id="21"/>
    <w:p>
      <w:pPr>
        <w:pStyle w:val="BodyText"/>
      </w:pPr>
      <w:r>
        <w:rPr>
          <w:bCs/>
          <w:b/>
        </w:rPr>
        <w:t xml:space="preserve">Quotation No.:</w:t>
      </w:r>
      <w:r>
        <w:t xml:space="preserve"> </w:t>
      </w:r>
      <w:r>
        <w:t xml:space="preserve">QE-DXB-2025-0487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Golden Frame Studios LLC</w:t>
      </w:r>
      <w:r>
        <w:br/>
      </w:r>
      <w:r>
        <w:rPr>
          <w:bCs/>
          <w:b/>
        </w:rPr>
        <w:t xml:space="preserve">Location:</w:t>
      </w:r>
      <w:r>
        <w:t xml:space="preserve"> </w:t>
      </w:r>
      <w:r>
        <w:t xml:space="preserve">Dubai Media City, United Arab Emirates</w:t>
      </w:r>
      <w:r>
        <w:br/>
      </w:r>
      <w:r>
        <w:rPr>
          <w:bCs/>
          <w:b/>
        </w:rPr>
        <w:t xml:space="preserve">Contact:</w:t>
      </w:r>
      <w:r>
        <w:t xml:space="preserve"> </w:t>
      </w:r>
      <w:r>
        <w:t xml:space="preserve">quotes@goldenframe.ae</w:t>
      </w:r>
    </w:p>
    <w:p>
      <w:pPr>
        <w:pStyle w:val="BodyText"/>
      </w:pPr>
      <w:r>
        <w:rPr>
          <w:bCs/>
          <w:b/>
        </w:rPr>
        <w:t xml:space="preserve">Prepared For:</w:t>
      </w:r>
      <w:r>
        <w:t xml:space="preserve"> </w:t>
      </w:r>
      <w:r>
        <w:t xml:space="preserve">[Client Name / Company]</w:t>
      </w:r>
      <w:r>
        <w:br/>
      </w:r>
      <w:r>
        <w:rPr>
          <w:bCs/>
          <w:b/>
        </w:rPr>
        <w:t xml:space="preserve">Project Reference:</w:t>
      </w:r>
      <w:r>
        <w:t xml:space="preserve"> </w:t>
      </w:r>
      <w:r>
        <w:t xml:space="preserve">Corporate Brand Film 2025</w:t>
      </w:r>
      <w:r>
        <w:br/>
      </w:r>
      <w:r>
        <w:rPr>
          <w:bCs/>
          <w:b/>
        </w:rPr>
        <w:t xml:space="preserve">Service Category:</w:t>
      </w:r>
      <w:r>
        <w:t xml:space="preserve"> </w:t>
      </w:r>
      <w:r>
        <w:t xml:space="preserve">Videographer — Full Production</w:t>
      </w:r>
    </w:p>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Golden Frame Studios LLC, a licensed and registered production company operating within the</w:t>
      </w:r>
      <w:r>
        <w:t xml:space="preserve"> </w:t>
      </w:r>
      <w:r>
        <w:t xml:space="preserve">United Arab Emirates Dubai</w:t>
      </w:r>
      <w:r>
        <w:t xml:space="preserve"> </w:t>
      </w:r>
      <w:r>
        <w:t xml:space="preserve">free zone, to provide a comprehensive and itemised cost breakdown for professional</w:t>
      </w:r>
      <w:r>
        <w:t xml:space="preserve"> </w:t>
      </w:r>
      <w:r>
        <w:t xml:space="preserve">Videographer</w:t>
      </w:r>
      <w:r>
        <w:t xml:space="preserve"> </w:t>
      </w:r>
      <w:r>
        <w:t xml:space="preserve">services. The scope of work outlined herein encompasses pre-production planning, on-location filming, post-production editing, colour grading, sound design, and final delivery of a polished cinematic video asset. All rates quoted are in United Arab Emirates Dirhams (AED) and are inclusive of applicable Value Added Tax (VAT) at the prevailing rate of 5% as mandated by the Federal Tax Authority of the United Arab Emirates.</w:t>
      </w:r>
    </w:p>
    <w:bookmarkEnd w:id="22"/>
    <w:bookmarkStart w:id="23" w:name="X8de49190c9067a1f823652b969331a77dcff5b2"/>
    <w:p>
      <w:pPr>
        <w:pStyle w:val="Heading3"/>
      </w:pPr>
      <w:r>
        <w:t xml:space="preserve">2. Scope of Services — Videographer Engagement</w:t>
      </w:r>
    </w:p>
    <w:p>
      <w:pPr>
        <w:pStyle w:val="FirstParagraph"/>
      </w:pPr>
      <w:r>
        <w:t xml:space="preserve">The</w:t>
      </w:r>
      <w:r>
        <w:t xml:space="preserve"> </w:t>
      </w:r>
      <w:r>
        <w:t xml:space="preserve">Videographer</w:t>
      </w:r>
      <w:r>
        <w:t xml:space="preserve"> </w:t>
      </w:r>
      <w:r>
        <w:t xml:space="preserve">engagement described in this</w:t>
      </w:r>
      <w:r>
        <w:t xml:space="preserve"> </w:t>
      </w:r>
      <w:r>
        <w:t xml:space="preserve">Quotation Estimate</w:t>
      </w:r>
      <w:r>
        <w:t xml:space="preserve"> </w:t>
      </w:r>
      <w:r>
        <w:t xml:space="preserve">covers a full-cycle video production project to be executed within the</w:t>
      </w:r>
      <w:r>
        <w:t xml:space="preserve"> </w:t>
      </w:r>
      <w:r>
        <w:t xml:space="preserve">United Arab Emirates Dubai</w:t>
      </w:r>
      <w:r>
        <w:t xml:space="preserve"> </w:t>
      </w:r>
      <w:r>
        <w:t xml:space="preserve">metropolitan area and its surrounding emirates. The assigned lead Videographer holds over twelve years of experience in corporate, commercial, and event-based video production, with a proven portfolio of work delivered to multinational corporations headquartered in Dubai International Financial Centre (DIFC), Dubai Internet City, and Jumeirah Lakes Towers (JLT).</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Subtotal (AED)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Pre-Production Consultation &amp; Script Development</w:t>
            </w:r>
          </w:p>
        </w:tc>
        <w:tc>
          <w:tcPr/>
          <w:p>
            <w:pPr>
              <w:pStyle w:val="Compact"/>
              <w:jc w:val="left"/>
            </w:pPr>
            <w:r>
              <w:t xml:space="preserve">2 days</w:t>
            </w:r>
          </w:p>
        </w:tc>
        <w:tc>
          <w:tcPr/>
          <w:p>
            <w:pPr>
              <w:pStyle w:val="Compact"/>
              <w:jc w:val="left"/>
            </w:pPr>
            <w:r>
              <w:t xml:space="preserve">3,500</w:t>
            </w:r>
          </w:p>
        </w:tc>
        <w:tc>
          <w:tcPr/>
          <w:p>
            <w:pPr>
              <w:pStyle w:val="Compact"/>
              <w:jc w:val="left"/>
            </w:pPr>
            <w:r>
              <w:t xml:space="preserve">7,000</w:t>
            </w:r>
          </w:p>
        </w:tc>
        <w:tc>
          <w:tcPr/>
          <w:p>
            <w:pPr>
              <w:pStyle w:val="Compact"/>
              <w:jc w:val="left"/>
            </w:pPr>
            <w:r>
              <w:t xml:space="preserve">Includes mood board &amp; shot list</w:t>
            </w:r>
          </w:p>
        </w:tc>
      </w:tr>
      <w:tr>
        <w:tc>
          <w:tcPr/>
          <w:p>
            <w:pPr>
              <w:pStyle w:val="Compact"/>
              <w:jc w:val="left"/>
            </w:pPr>
            <w:r>
              <w:t xml:space="preserve">2</w:t>
            </w:r>
          </w:p>
        </w:tc>
        <w:tc>
          <w:tcPr/>
          <w:p>
            <w:pPr>
              <w:pStyle w:val="Compact"/>
              <w:jc w:val="left"/>
            </w:pPr>
            <w:r>
              <w:t xml:space="preserve">Lead Videographer On-Set (4K Cinema Camera, Dual Lens Kit)</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c>
          <w:tcPr/>
          <w:p>
            <w:pPr>
              <w:pStyle w:val="Compact"/>
              <w:jc w:val="left"/>
            </w:pPr>
            <w:r>
              <w:t xml:space="preserve">Includes B-cam operator</w:t>
            </w:r>
          </w:p>
        </w:tc>
      </w:tr>
      <w:tr>
        <w:tc>
          <w:tcPr/>
          <w:p>
            <w:pPr>
              <w:pStyle w:val="Compact"/>
              <w:jc w:val="left"/>
            </w:pPr>
            <w:r>
              <w:t xml:space="preserve">3</w:t>
            </w:r>
          </w:p>
        </w:tc>
        <w:tc>
          <w:tcPr/>
          <w:p>
            <w:pPr>
              <w:pStyle w:val="Compact"/>
              <w:jc w:val="left"/>
            </w:pPr>
            <w:r>
              <w:t xml:space="preserve">Drone Videography (RTA-Permitted, Dubai Skyline)</w:t>
            </w:r>
          </w:p>
        </w:tc>
        <w:tc>
          <w:tcPr/>
          <w:p>
            <w:pPr>
              <w:pStyle w:val="Compact"/>
              <w:jc w:val="left"/>
            </w:pPr>
            <w:r>
              <w:t xml:space="preserve">1 day</w:t>
            </w:r>
          </w:p>
        </w:tc>
        <w:tc>
          <w:tcPr/>
          <w:p>
            <w:pPr>
              <w:pStyle w:val="Compact"/>
              <w:jc w:val="left"/>
            </w:pPr>
            <w:r>
              <w:t xml:space="preserve">6,000</w:t>
            </w:r>
          </w:p>
        </w:tc>
        <w:tc>
          <w:tcPr/>
          <w:p>
            <w:pPr>
              <w:pStyle w:val="Compact"/>
              <w:jc w:val="left"/>
            </w:pPr>
            <w:r>
              <w:t xml:space="preserve">6,000</w:t>
            </w:r>
          </w:p>
        </w:tc>
        <w:tc>
          <w:tcPr/>
          <w:p>
            <w:pPr>
              <w:pStyle w:val="Compact"/>
              <w:jc w:val="left"/>
            </w:pPr>
            <w:r>
              <w:t xml:space="preserve">UAE GCAA drone licence held</w:t>
            </w:r>
          </w:p>
        </w:tc>
      </w:tr>
      <w:tr>
        <w:tc>
          <w:tcPr/>
          <w:p>
            <w:pPr>
              <w:pStyle w:val="Compact"/>
              <w:jc w:val="left"/>
            </w:pPr>
            <w:r>
              <w:t xml:space="preserve">4</w:t>
            </w:r>
          </w:p>
        </w:tc>
        <w:tc>
          <w:tcPr/>
          <w:p>
            <w:pPr>
              <w:pStyle w:val="Compact"/>
              <w:jc w:val="left"/>
            </w:pPr>
            <w:r>
              <w:t xml:space="preserve">Lighting &amp; Audio Package (LED Panels, Boom Mic, Lavaliers)</w:t>
            </w:r>
          </w:p>
        </w:tc>
        <w:tc>
          <w:tcPr/>
          <w:p>
            <w:pPr>
              <w:pStyle w:val="Compact"/>
              <w:jc w:val="left"/>
            </w:pPr>
            <w:r>
              <w:t xml:space="preserve">3 days</w:t>
            </w:r>
          </w:p>
        </w:tc>
        <w:tc>
          <w:tcPr/>
          <w:p>
            <w:pPr>
              <w:pStyle w:val="Compact"/>
              <w:jc w:val="left"/>
            </w:pPr>
            <w:r>
              <w:t xml:space="preserve">2,800</w:t>
            </w:r>
          </w:p>
        </w:tc>
        <w:tc>
          <w:tcPr/>
          <w:p>
            <w:pPr>
              <w:pStyle w:val="Compact"/>
              <w:jc w:val="left"/>
            </w:pPr>
            <w:r>
              <w:t xml:space="preserve">8,400</w:t>
            </w:r>
          </w:p>
        </w:tc>
        <w:tc>
          <w:tcPr/>
          <w:p>
            <w:pPr>
              <w:pStyle w:val="Compact"/>
              <w:jc w:val="left"/>
            </w:pPr>
            <w:r>
              <w:t xml:space="preserve">Full kit rental</w:t>
            </w:r>
          </w:p>
        </w:tc>
      </w:tr>
      <w:tr>
        <w:tc>
          <w:tcPr/>
          <w:p>
            <w:pPr>
              <w:pStyle w:val="Compact"/>
              <w:jc w:val="left"/>
            </w:pPr>
            <w:r>
              <w:t xml:space="preserve">5</w:t>
            </w:r>
          </w:p>
        </w:tc>
        <w:tc>
          <w:tcPr/>
          <w:p>
            <w:pPr>
              <w:pStyle w:val="Compact"/>
              <w:jc w:val="left"/>
            </w:pPr>
            <w:r>
              <w:t xml:space="preserve">Post-Production: Editing, Colour Grading &amp; Sound Design</w:t>
            </w:r>
          </w:p>
        </w:tc>
        <w:tc>
          <w:tcPr/>
          <w:p>
            <w:pPr>
              <w:pStyle w:val="Compact"/>
              <w:jc w:val="left"/>
            </w:pPr>
            <w:r>
              <w:t xml:space="preserve">10 days</w:t>
            </w:r>
          </w:p>
        </w:tc>
        <w:tc>
          <w:tcPr/>
          <w:p>
            <w:pPr>
              <w:pStyle w:val="Compact"/>
              <w:jc w:val="left"/>
            </w:pPr>
            <w:r>
              <w:t xml:space="preserve">1,200</w:t>
            </w:r>
          </w:p>
        </w:tc>
        <w:tc>
          <w:tcPr/>
          <w:p>
            <w:pPr>
              <w:pStyle w:val="Compact"/>
              <w:jc w:val="left"/>
            </w:pPr>
            <w:r>
              <w:t xml:space="preserve">12,000</w:t>
            </w:r>
          </w:p>
        </w:tc>
        <w:tc>
          <w:tcPr/>
          <w:p>
            <w:pPr>
              <w:pStyle w:val="Compact"/>
              <w:jc w:val="left"/>
            </w:pPr>
            <w:r>
              <w:t xml:space="preserve">Up to 3 revision rounds</w:t>
            </w:r>
          </w:p>
        </w:tc>
      </w:tr>
      <w:tr>
        <w:tc>
          <w:tcPr/>
          <w:p>
            <w:pPr>
              <w:pStyle w:val="Compact"/>
              <w:jc w:val="left"/>
            </w:pPr>
            <w:r>
              <w:t xml:space="preserve">6</w:t>
            </w:r>
          </w:p>
        </w:tc>
        <w:tc>
          <w:tcPr/>
          <w:p>
            <w:pPr>
              <w:pStyle w:val="Compact"/>
              <w:jc w:val="left"/>
            </w:pPr>
            <w:r>
              <w:t xml:space="preserve">Final Delivery (4K Master, 1080p Web, Social Cuts, Subtitles AR/EN)</w:t>
            </w:r>
          </w:p>
        </w:tc>
        <w:tc>
          <w:tcPr/>
          <w:p>
            <w:pPr>
              <w:pStyle w:val="Compact"/>
              <w:jc w:val="left"/>
            </w:pPr>
            <w:r>
              <w:t xml:space="preserve">1 package</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ProRes &amp; H.264 formats</w:t>
            </w:r>
          </w:p>
        </w:tc>
      </w:tr>
      <w:tr>
        <w:tc>
          <w:tcPr/>
          <w:p>
            <w:pPr>
              <w:pStyle w:val="Compact"/>
              <w:jc w:val="left"/>
            </w:pPr>
            <w:r>
              <w:t xml:space="preserve">7</w:t>
            </w:r>
          </w:p>
        </w:tc>
        <w:tc>
          <w:tcPr/>
          <w:p>
            <w:pPr>
              <w:pStyle w:val="Compact"/>
              <w:jc w:val="left"/>
            </w:pPr>
            <w:r>
              <w:t xml:space="preserve">Travel &amp; Logistics within United Arab Emirates Dubai</w:t>
            </w:r>
          </w:p>
        </w:tc>
        <w:tc>
          <w:tcPr/>
          <w:p>
            <w:pPr>
              <w:pStyle w:val="Compact"/>
              <w:jc w:val="left"/>
            </w:pPr>
            <w:r>
              <w:t xml:space="preserve">4 days</w:t>
            </w:r>
          </w:p>
        </w:tc>
        <w:tc>
          <w:tcPr/>
          <w:p>
            <w:pPr>
              <w:pStyle w:val="Compact"/>
              <w:jc w:val="left"/>
            </w:pPr>
            <w:r>
              <w:t xml:space="preserve">800</w:t>
            </w:r>
          </w:p>
        </w:tc>
        <w:tc>
          <w:tcPr/>
          <w:p>
            <w:pPr>
              <w:pStyle w:val="Compact"/>
              <w:jc w:val="left"/>
            </w:pPr>
            <w:r>
              <w:t xml:space="preserve">3,200</w:t>
            </w:r>
          </w:p>
        </w:tc>
        <w:tc>
          <w:tcPr/>
          <w:p>
            <w:pPr>
              <w:pStyle w:val="Compact"/>
              <w:jc w:val="left"/>
            </w:pPr>
            <w:r>
              <w:t xml:space="preserve">Vehicle, fuel, parking permits</w:t>
            </w:r>
          </w:p>
        </w:tc>
      </w:tr>
      <w:tr>
        <w:tc>
          <w:tcPr/>
          <w:p>
            <w:pPr>
              <w:pStyle w:val="Compact"/>
              <w:jc w:val="left"/>
            </w:pPr>
            <w:r>
              <w:t xml:space="preserve">8</w:t>
            </w:r>
          </w:p>
        </w:tc>
        <w:tc>
          <w:tcPr/>
          <w:p>
            <w:pPr>
              <w:pStyle w:val="Compact"/>
              <w:jc w:val="left"/>
            </w:pPr>
            <w:r>
              <w:t xml:space="preserve">Location Permits &amp; Insurance (Dubai Municipality / DTCM)</w:t>
            </w:r>
          </w:p>
        </w:tc>
        <w:tc>
          <w:tcPr/>
          <w:p>
            <w:pPr>
              <w:pStyle w:val="Compact"/>
              <w:jc w:val="left"/>
            </w:pPr>
            <w:r>
              <w:t xml:space="preserve">1 package</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Public &amp; private locations</w:t>
            </w:r>
          </w:p>
        </w:tc>
      </w:tr>
      <w:tr>
        <w:tc>
          <w:tcPr>
            <w:gridSpan w:val="4"/>
          </w:tcPr>
          <w:p>
            <w:pPr>
              <w:pStyle w:val="Compact"/>
              <w:jc w:val="left"/>
            </w:pPr>
            <w:r>
              <w:t xml:space="preserve">Subtotal (AED)</w:t>
            </w:r>
          </w:p>
        </w:tc>
        <w:tc>
          <w:tcPr/>
          <w:p>
            <w:pPr>
              <w:pStyle w:val="Compact"/>
              <w:jc w:val="left"/>
            </w:pPr>
            <w:r>
              <w:t xml:space="preserve">69,100</w:t>
            </w:r>
          </w:p>
        </w:tc>
        <w:tc>
          <w:tcPr/>
          <w:p>
            <w:pPr>
              <w:pStyle w:val="Compact"/>
            </w:pPr>
          </w:p>
        </w:tc>
      </w:tr>
      <w:tr>
        <w:tc>
          <w:tcPr>
            <w:gridSpan w:val="4"/>
          </w:tcPr>
          <w:p>
            <w:pPr>
              <w:pStyle w:val="Compact"/>
              <w:jc w:val="left"/>
            </w:pPr>
            <w:r>
              <w:t xml:space="preserve">VAT @ 5% (AED)</w:t>
            </w:r>
          </w:p>
        </w:tc>
        <w:tc>
          <w:tcPr/>
          <w:p>
            <w:pPr>
              <w:pStyle w:val="Compact"/>
              <w:jc w:val="left"/>
            </w:pPr>
            <w:r>
              <w:t xml:space="preserve">3,455</w:t>
            </w:r>
          </w:p>
        </w:tc>
        <w:tc>
          <w:tcPr/>
          <w:p>
            <w:pPr>
              <w:pStyle w:val="Compact"/>
            </w:pPr>
          </w:p>
        </w:tc>
      </w:tr>
      <w:tr>
        <w:tc>
          <w:tcPr>
            <w:gridSpan w:val="4"/>
          </w:tcPr>
          <w:p>
            <w:pPr>
              <w:pStyle w:val="Compact"/>
              <w:jc w:val="left"/>
            </w:pPr>
            <w:r>
              <w:rPr>
                <w:bCs/>
                <w:b/>
              </w:rPr>
              <w:t xml:space="preserve">Grand Total (AED)</w:t>
            </w:r>
          </w:p>
        </w:tc>
        <w:tc>
          <w:tcPr/>
          <w:p>
            <w:pPr>
              <w:pStyle w:val="Compact"/>
              <w:jc w:val="left"/>
            </w:pPr>
            <w:r>
              <w:rPr>
                <w:bCs/>
                <w:b/>
              </w:rPr>
              <w:t xml:space="preserve">72,555</w:t>
            </w:r>
          </w:p>
        </w:tc>
        <w:tc>
          <w:tcPr/>
          <w:p>
            <w:pPr>
              <w:pStyle w:val="Compact"/>
            </w:pPr>
          </w:p>
        </w:tc>
      </w:tr>
    </w:tbl>
    <w:p>
      <w:pPr>
        <w:pStyle w:val="BodyText"/>
      </w:pPr>
      <w:r>
        <w:rPr>
          <w:bCs/>
          <w:b/>
        </w:rPr>
        <w:t xml:space="preserve">Note:</w:t>
      </w:r>
      <w:r>
        <w:t xml:space="preserve"> </w:t>
      </w:r>
      <w:r>
        <w:t xml:space="preserve">This Quotation Estimate assumes a standard 3-day principal photography schedule within the United Arab Emirates Dubai city limits. Any additional shooting days, after-hours work (beyond 18:00 GST), or travel to other emirates (Abu Dhabi, Sharjah, Ras Al Khaimah) will be billed at 1.5× the daily Videographer rate and are excluded from the above totals.</w:t>
      </w:r>
    </w:p>
    <w:bookmarkEnd w:id="24"/>
    <w:bookmarkStart w:id="25" w:name="X06f751c0fef37426aad28df54ec1acd620508e5"/>
    <w:p>
      <w:pPr>
        <w:pStyle w:val="Heading3"/>
      </w:pPr>
      <w:r>
        <w:t xml:space="preserve">4. Terms &amp; Conditions of This Quotation Estimate</w:t>
      </w:r>
    </w:p>
    <w:p>
      <w:pPr>
        <w:numPr>
          <w:ilvl w:val="0"/>
          <w:numId w:val="1001"/>
        </w:numPr>
        <w:pStyle w:val="Compact"/>
      </w:pPr>
      <w:r>
        <w:t xml:space="preserve">This Quotation Estimate is valid for thirty (30) calendar days from the date of issue. Upon expiry, all rates are subject to revision based on current market conditions in the United Arab Emirates Dubai media sector.</w:t>
      </w:r>
    </w:p>
    <w:p>
      <w:pPr>
        <w:numPr>
          <w:ilvl w:val="0"/>
          <w:numId w:val="1001"/>
        </w:numPr>
        <w:pStyle w:val="Compact"/>
      </w:pPr>
      <w:r>
        <w:t xml:space="preserve">A non-refundable deposit of 40% of the Grand Total (AED 29,022) is required to secure the Videographer’s schedule and commence pre-production. The remaining 60% is due upon final delivery of all video assets.</w:t>
      </w:r>
    </w:p>
    <w:p>
      <w:pPr>
        <w:numPr>
          <w:ilvl w:val="0"/>
          <w:numId w:val="1001"/>
        </w:numPr>
        <w:pStyle w:val="Compact"/>
      </w:pPr>
      <w:r>
        <w:t xml:space="preserve">All intellectual property rights to the final edited video, raw footage, and associated audio files transfer to the client upon full and final payment. Golden Frame Studios LLC retains the right to display the work in its professional portfolio unless a non-disclosure agreement (NDA) is executed prior to filming.</w:t>
      </w:r>
    </w:p>
    <w:p>
      <w:pPr>
        <w:numPr>
          <w:ilvl w:val="0"/>
          <w:numId w:val="1001"/>
        </w:numPr>
        <w:pStyle w:val="Compact"/>
      </w:pPr>
      <w:r>
        <w:t xml:space="preserve">The Videographer and all crew members are fully insured under a comprehensive public liability policy compliant with United Arab Emirates Dubai municipal regulations. The client is responsible for any third-party location access fees not included in Line Item 8.</w:t>
      </w:r>
    </w:p>
    <w:p>
      <w:pPr>
        <w:numPr>
          <w:ilvl w:val="0"/>
          <w:numId w:val="1001"/>
        </w:numPr>
        <w:pStyle w:val="Compact"/>
      </w:pPr>
      <w:r>
        <w:t xml:space="preserve">Force majeure events, including but not limited to severe weather, government-mandated curfews, or civil unrest within the United Arab Emirates, may result in schedule adjustments. Affected days will be rescheduled at no additional cost to the client.</w:t>
      </w:r>
    </w:p>
    <w:p>
      <w:pPr>
        <w:numPr>
          <w:ilvl w:val="0"/>
          <w:numId w:val="1001"/>
        </w:numPr>
        <w:pStyle w:val="Compact"/>
      </w:pPr>
      <w:r>
        <w:t xml:space="preserve">All work is governed by the laws of the United Arab Emirates, and any disputes arising from this Quotation Estimate shall be subject to the exclusive jurisdiction of the Dubai Courts.</w:t>
      </w:r>
    </w:p>
    <w:p>
      <w:pPr>
        <w:numPr>
          <w:ilvl w:val="0"/>
          <w:numId w:val="1001"/>
        </w:numPr>
        <w:pStyle w:val="Compact"/>
      </w:pPr>
      <w:r>
        <w:t xml:space="preserve">Payment terms: Net 14 days from invoice date. Late payments attract a penalty of 2% per month as per UAE commercial law.</w:t>
      </w:r>
    </w:p>
    <w:bookmarkEnd w:id="25"/>
    <w:bookmarkStart w:id="26" w:name="acceptance-authorisation"/>
    <w:p>
      <w:pPr>
        <w:pStyle w:val="Heading3"/>
      </w:pPr>
      <w:r>
        <w:t xml:space="preserve">5. Acceptance &amp; Authorisation</w:t>
      </w:r>
    </w:p>
    <w:p>
      <w:pPr>
        <w:pStyle w:val="FirstParagraph"/>
      </w:pPr>
      <w:r>
        <w:t xml:space="preserve">By signing below, the client acknowledges receipt of this</w:t>
      </w:r>
      <w:r>
        <w:t xml:space="preserve"> </w:t>
      </w:r>
      <w:r>
        <w:t xml:space="preserve">Quotation Estimate</w:t>
      </w:r>
      <w:r>
        <w:t xml:space="preserve">, confirms acceptance of the scope, rates, and terms outlined for the</w:t>
      </w:r>
      <w:r>
        <w:t xml:space="preserve"> </w:t>
      </w:r>
      <w:r>
        <w:t xml:space="preserve">Videographer</w:t>
      </w:r>
      <w:r>
        <w:t xml:space="preserve"> </w:t>
      </w:r>
      <w:r>
        <w:t xml:space="preserve">services to be delivered in</w:t>
      </w:r>
      <w:r>
        <w:t xml:space="preserve"> </w:t>
      </w:r>
      <w:r>
        <w:t xml:space="preserve">United Arab Emirates Dubai</w:t>
      </w:r>
      <w:r>
        <w:t xml:space="preserve">, and authorises Golden Frame Studios LLC to proceed with scheduling and pre-production activities.</w:t>
      </w:r>
    </w:p>
    <w:p>
      <w:pPr>
        <w:pStyle w:val="BodyText"/>
      </w:pPr>
      <w:r>
        <w:rPr>
          <w:bCs/>
          <w:b/>
        </w:rPr>
        <w:t xml:space="preserve">For Golden Frame Studios LLC</w:t>
      </w:r>
      <w:r>
        <w:br/>
      </w:r>
      <w:r>
        <w:t xml:space="preserve">Name: Ahmed Al Mansoori</w:t>
      </w:r>
      <w:r>
        <w:br/>
      </w:r>
      <w:r>
        <w:t xml:space="preserve">Title: Managing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Golden Frame Studios LLC — Dubai Media City, Building 12, Office 405, United Arab Emirates Dubai, DIFC</w:t>
      </w:r>
      <w:r>
        <w:br/>
      </w:r>
      <w:r>
        <w:t xml:space="preserve">TRN: 100234567800003  |  DED Licence No: 109876543  |  +971 4 555 0192  |  quotes@goldenframe.ae</w:t>
      </w:r>
    </w:p>
    <w:p>
      <w:pPr>
        <w:pStyle w:val="BodyText"/>
      </w:pPr>
      <w:r>
        <w:t xml:space="preserve">This Quotation Estimate is a commercial document and does not constitute a binding contract until countersigned by both parties. © 2025 Golden Frame Studios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United Arab Emirates Dubai</dc:title>
  <dc:creator/>
  <dc:language>en</dc:language>
  <cp:keywords/>
  <dcterms:created xsi:type="dcterms:W3CDTF">2026-10-10T04:23:59Z</dcterms:created>
  <dcterms:modified xsi:type="dcterms:W3CDTF">2026-10-10T04:23:59Z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