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Web</w:t>
      </w:r>
      <w:r>
        <w:t xml:space="preserve"> </w:t>
      </w:r>
      <w:r>
        <w:t xml:space="preserve">Designer</w:t>
      </w:r>
      <w:r>
        <w:t xml:space="preserve"> </w:t>
      </w:r>
      <w:r>
        <w:t xml:space="preserve">Services</w:t>
      </w:r>
      <w:r>
        <w:t xml:space="preserve"> </w:t>
      </w:r>
      <w:r>
        <w:t xml:space="preserve">-</w:t>
      </w:r>
      <w:r>
        <w:t xml:space="preserve"> </w:t>
      </w:r>
      <w:r>
        <w:t xml:space="preserve">Germany</w:t>
      </w:r>
      <w:r>
        <w:t xml:space="preserve"> </w:t>
      </w:r>
      <w:r>
        <w:t xml:space="preserve">Berlin</w:t>
      </w:r>
    </w:p>
    <w:bookmarkStart w:id="20" w:name="quotation-estimate"/>
    <w:p>
      <w:pPr>
        <w:pStyle w:val="Heading1"/>
      </w:pPr>
      <w:r>
        <w:t xml:space="preserve">Quotation Estimate</w:t>
      </w:r>
    </w:p>
    <w:p>
      <w:pPr>
        <w:pStyle w:val="FirstParagraph"/>
      </w:pPr>
      <w:r>
        <w:t xml:space="preserve">Professional Web Designer Services</w:t>
      </w:r>
    </w:p>
    <w:p>
      <w:pPr>
        <w:pStyle w:val="BodyText"/>
      </w:pPr>
      <w:r>
        <w:t xml:space="preserve">Prepared for clients operating in Germany Berlin and surrounding metropolitan areas</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No.:</w:t>
            </w:r>
          </w:p>
        </w:tc>
        <w:tc>
          <w:tcPr/>
          <w:p>
            <w:pPr>
              <w:pStyle w:val="Compact"/>
              <w:jc w:val="left"/>
            </w:pPr>
            <w:r>
              <w:t xml:space="preserve">QTE-2025-BER-0472</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July 2025 (30 calendar days)</w:t>
            </w:r>
          </w:p>
        </w:tc>
      </w:tr>
      <w:tr>
        <w:tc>
          <w:tcPr/>
          <w:p>
            <w:pPr>
              <w:pStyle w:val="Compact"/>
              <w:jc w:val="left"/>
            </w:pPr>
            <w:r>
              <w:t xml:space="preserve">Prepared By:</w:t>
            </w:r>
          </w:p>
        </w:tc>
        <w:tc>
          <w:tcPr/>
          <w:p>
            <w:pPr>
              <w:pStyle w:val="Compact"/>
              <w:jc w:val="left"/>
            </w:pPr>
            <w:r>
              <w:t xml:space="preserve">Stefan Krüger – Lead Web Designer, PixelCraft Studio GmbH</w:t>
            </w:r>
          </w:p>
        </w:tc>
      </w:tr>
      <w:tr>
        <w:tc>
          <w:tcPr/>
          <w:p>
            <w:pPr>
              <w:pStyle w:val="Compact"/>
              <w:jc w:val="left"/>
            </w:pPr>
            <w:r>
              <w:t xml:space="preserve">Address:</w:t>
            </w:r>
          </w:p>
        </w:tc>
        <w:tc>
          <w:tcPr/>
          <w:p>
            <w:pPr>
              <w:pStyle w:val="Compact"/>
              <w:jc w:val="left"/>
            </w:pPr>
            <w:r>
              <w:t xml:space="preserve">Frankfurter Allee 120, 10247 Berlin, Germany</w:t>
            </w:r>
          </w:p>
        </w:tc>
      </w:tr>
      <w:tr>
        <w:tc>
          <w:tcPr/>
          <w:p>
            <w:pPr>
              <w:pStyle w:val="Compact"/>
              <w:jc w:val="left"/>
            </w:pPr>
            <w:r>
              <w:t xml:space="preserve">Contact:</w:t>
            </w:r>
          </w:p>
        </w:tc>
        <w:tc>
          <w:tcPr/>
          <w:p>
            <w:pPr>
              <w:pStyle w:val="Compact"/>
              <w:jc w:val="left"/>
            </w:pPr>
            <w:r>
              <w:t xml:space="preserve">stefan.krueger@pixelcraft-berlin.de | +49 30 5557 8821</w:t>
            </w:r>
          </w:p>
        </w:tc>
      </w:tr>
      <w:tr>
        <w:tc>
          <w:tcPr/>
          <w:p>
            <w:pPr>
              <w:pStyle w:val="Compact"/>
              <w:jc w:val="left"/>
            </w:pPr>
            <w:r>
              <w:t xml:space="preserve">Client Name:</w:t>
            </w:r>
          </w:p>
        </w:tc>
        <w:tc>
          <w:tcPr/>
          <w:p>
            <w:pPr>
              <w:pStyle w:val="Compact"/>
              <w:jc w:val="left"/>
            </w:pPr>
            <w:r>
              <w:t xml:space="preserve">[Client Company Name], [Street Address], [Postal Code] Berlin, Germany</w:t>
            </w:r>
          </w:p>
        </w:tc>
      </w:tr>
      <w:tr>
        <w:tc>
          <w:tcPr/>
          <w:p>
            <w:pPr>
              <w:pStyle w:val="Compact"/>
              <w:jc w:val="left"/>
            </w:pPr>
            <w:r>
              <w:t xml:space="preserve">USt-IdNr. (VAT):</w:t>
            </w:r>
          </w:p>
        </w:tc>
        <w:tc>
          <w:tcPr/>
          <w:p>
            <w:pPr>
              <w:pStyle w:val="Compact"/>
              <w:jc w:val="left"/>
            </w:pPr>
            <w:r>
              <w:t xml:space="preserve">DE 312 456 789</w:t>
            </w:r>
          </w:p>
        </w:tc>
      </w:tr>
    </w:tbl>
    <w:bookmarkStart w:id="21" w:name="X0c7581080508d578c26b6d8dfd726c7e3ca5cc9"/>
    <w:p>
      <w:pPr>
        <w:pStyle w:val="Heading2"/>
      </w:pPr>
      <w:r>
        <w:t xml:space="preserve">1. Purpose and Scope of This Quotation Estimate</w:t>
      </w:r>
    </w:p>
    <w:p>
      <w:pPr>
        <w:pStyle w:val="FirstParagraph"/>
      </w:pPr>
      <w:r>
        <w:t xml:space="preserve">This Quotation Estimate has been prepared by PixelCraft Studio GmbH, a registered Web Designer agency based in Germany Berlin, to provide a transparent and detailed cost breakdown for the design, development, and deployment of a custom corporate website. This document serves as a formal Quotation Estimate outlining all deliverables, timelines, and associated fees for the engagement of our Web Designer team. All pricing is quoted in Euro (EUR) and includes the applicable German value-added tax (Mehrwertsteuer) at the standard rate of 19%, in compliance with the German Tax Code (Abgabenordnung, AO) and the VAT Act (Umsatzsteuergesetz, UStG).</w:t>
      </w:r>
    </w:p>
    <w:p>
      <w:pPr>
        <w:pStyle w:val="BodyText"/>
      </w:pPr>
      <w:r>
        <w:t xml:space="preserve">As a Web Designer firm operating exclusively within the Germany Berlin region, we tailor every project to meet the specific regulatory, cultural, and technical expectations of businesses located in this dynamic metropolitan area. This Quotation Estimate reflects our understanding of the local market, including compliance with the German General Data Protection Regulation (DSGVO / GDPR), the Telemedia Act (Telemediengesetz, TMG), and the requirement for an Impressum on all commercial websites operating in Germany.</w:t>
      </w:r>
    </w:p>
    <w:bookmarkEnd w:id="21"/>
    <w:bookmarkStart w:id="26" w:name="scope-of-work-web-designer-services"/>
    <w:p>
      <w:pPr>
        <w:pStyle w:val="Heading2"/>
      </w:pPr>
      <w:r>
        <w:t xml:space="preserve">2. Scope of Work – Web Designer Services</w:t>
      </w:r>
    </w:p>
    <w:p>
      <w:pPr>
        <w:pStyle w:val="FirstParagraph"/>
      </w:pPr>
      <w:r>
        <w:t xml:space="preserve">The following Web Designer services are included in this Quotation Estimate. Each phase has been structured to ensure a seamless workflow from initial concept through to final launch and post-launch support:</w:t>
      </w:r>
    </w:p>
    <w:bookmarkStart w:id="22" w:name="phase-1-discovery-and-strategy-weeks-12"/>
    <w:p>
      <w:pPr>
        <w:pStyle w:val="Heading3"/>
      </w:pPr>
      <w:r>
        <w:t xml:space="preserve">Phase 1 – Discovery and Strategy (Weeks 1–2)</w:t>
      </w:r>
    </w:p>
    <w:p>
      <w:pPr>
        <w:numPr>
          <w:ilvl w:val="0"/>
          <w:numId w:val="1001"/>
        </w:numPr>
        <w:pStyle w:val="Compact"/>
      </w:pPr>
      <w:r>
        <w:t xml:space="preserve">Initial consultation meeting in our Germany Berlin office or via video conference</w:t>
      </w:r>
    </w:p>
    <w:p>
      <w:pPr>
        <w:numPr>
          <w:ilvl w:val="0"/>
          <w:numId w:val="1001"/>
        </w:numPr>
        <w:pStyle w:val="Compact"/>
      </w:pPr>
      <w:r>
        <w:t xml:space="preserve">Competitor analysis of up to five local and national competitors</w:t>
      </w:r>
    </w:p>
    <w:p>
      <w:pPr>
        <w:numPr>
          <w:ilvl w:val="0"/>
          <w:numId w:val="1001"/>
        </w:numPr>
        <w:pStyle w:val="Compact"/>
      </w:pPr>
      <w:r>
        <w:t xml:space="preserve">Creation of a detailed sitemap and user-flow architecture</w:t>
      </w:r>
    </w:p>
    <w:p>
      <w:pPr>
        <w:numPr>
          <w:ilvl w:val="0"/>
          <w:numId w:val="1001"/>
        </w:numPr>
        <w:pStyle w:val="Compact"/>
      </w:pPr>
      <w:r>
        <w:t xml:space="preserve">Definition of target audience personas specific to the Germany Berlin market</w:t>
      </w:r>
    </w:p>
    <w:p>
      <w:pPr>
        <w:numPr>
          <w:ilvl w:val="0"/>
          <w:numId w:val="1001"/>
        </w:numPr>
        <w:pStyle w:val="Compact"/>
      </w:pPr>
      <w:r>
        <w:t xml:space="preserve">Delivery of a written project brief and content strategy document</w:t>
      </w:r>
    </w:p>
    <w:bookmarkEnd w:id="22"/>
    <w:bookmarkStart w:id="23" w:name="phase-2-uiux-design-weeks-35"/>
    <w:p>
      <w:pPr>
        <w:pStyle w:val="Heading3"/>
      </w:pPr>
      <w:r>
        <w:t xml:space="preserve">Phase 2 – UI/UX Design (Weeks 3–5)</w:t>
      </w:r>
    </w:p>
    <w:p>
      <w:pPr>
        <w:numPr>
          <w:ilvl w:val="0"/>
          <w:numId w:val="1002"/>
        </w:numPr>
        <w:pStyle w:val="Compact"/>
      </w:pPr>
      <w:r>
        <w:t xml:space="preserve">Wireframing of all key pages (minimum 12 unique page templates)</w:t>
      </w:r>
    </w:p>
    <w:p>
      <w:pPr>
        <w:numPr>
          <w:ilvl w:val="0"/>
          <w:numId w:val="1002"/>
        </w:numPr>
        <w:pStyle w:val="Compact"/>
      </w:pPr>
      <w:r>
        <w:t xml:space="preserve">High-fidelity visual design in line with the client's brand identity</w:t>
      </w:r>
    </w:p>
    <w:p>
      <w:pPr>
        <w:numPr>
          <w:ilvl w:val="0"/>
          <w:numId w:val="1002"/>
        </w:numPr>
        <w:pStyle w:val="Compact"/>
      </w:pPr>
      <w:r>
        <w:t xml:space="preserve">Responsive design specifications for desktop, tablet, and mobile breakpoints</w:t>
      </w:r>
    </w:p>
    <w:p>
      <w:pPr>
        <w:numPr>
          <w:ilvl w:val="0"/>
          <w:numId w:val="1002"/>
        </w:numPr>
        <w:pStyle w:val="Compact"/>
      </w:pPr>
      <w:r>
        <w:t xml:space="preserve">Two (2) rounds of client revision incorporated by our Web Designer team</w:t>
      </w:r>
    </w:p>
    <w:p>
      <w:pPr>
        <w:numPr>
          <w:ilvl w:val="0"/>
          <w:numId w:val="1002"/>
        </w:numPr>
        <w:pStyle w:val="Compact"/>
      </w:pPr>
      <w:r>
        <w:t xml:space="preserve">Accessibility audit aligned with WCAG 2.1 AA standards</w:t>
      </w:r>
    </w:p>
    <w:bookmarkEnd w:id="23"/>
    <w:bookmarkStart w:id="24" w:name="X129fddbce362adf3dc815b055309281fc4276f9"/>
    <w:p>
      <w:pPr>
        <w:pStyle w:val="Heading3"/>
      </w:pPr>
      <w:r>
        <w:t xml:space="preserve">Phase 3 – Development and Integration (Weeks 6–9)</w:t>
      </w:r>
    </w:p>
    <w:p>
      <w:pPr>
        <w:numPr>
          <w:ilvl w:val="0"/>
          <w:numId w:val="1003"/>
        </w:numPr>
        <w:pStyle w:val="Compact"/>
      </w:pPr>
      <w:r>
        <w:t xml:space="preserve">Front-end development using HTML5, CSS3, and modern JavaScript frameworks</w:t>
      </w:r>
    </w:p>
    <w:p>
      <w:pPr>
        <w:numPr>
          <w:ilvl w:val="0"/>
          <w:numId w:val="1003"/>
        </w:numPr>
        <w:pStyle w:val="Compact"/>
      </w:pPr>
      <w:r>
        <w:t xml:space="preserve">Back-end integration with the client's preferred CMS (WordPress, TYPO3, or custom)</w:t>
      </w:r>
    </w:p>
    <w:p>
      <w:pPr>
        <w:numPr>
          <w:ilvl w:val="0"/>
          <w:numId w:val="1003"/>
        </w:numPr>
        <w:pStyle w:val="Compact"/>
      </w:pPr>
      <w:r>
        <w:t xml:space="preserve">Implementation of DSGVO-compliant cookie consent management</w:t>
      </w:r>
    </w:p>
    <w:p>
      <w:pPr>
        <w:numPr>
          <w:ilvl w:val="0"/>
          <w:numId w:val="1003"/>
        </w:numPr>
        <w:pStyle w:val="Compact"/>
      </w:pPr>
      <w:r>
        <w:t xml:space="preserve">Integration of a German-language contact form with SSL encryption</w:t>
      </w:r>
    </w:p>
    <w:p>
      <w:pPr>
        <w:numPr>
          <w:ilvl w:val="0"/>
          <w:numId w:val="1003"/>
        </w:numPr>
        <w:pStyle w:val="Compact"/>
      </w:pPr>
      <w:r>
        <w:t xml:space="preserve">Performance optimisation targeting a Lighthouse score of 90 or above</w:t>
      </w:r>
    </w:p>
    <w:p>
      <w:pPr>
        <w:numPr>
          <w:ilvl w:val="0"/>
          <w:numId w:val="1003"/>
        </w:numPr>
        <w:pStyle w:val="Compact"/>
      </w:pPr>
      <w:r>
        <w:t xml:space="preserve">SEO foundational setup including meta tags, structured data, and XML sitemap</w:t>
      </w:r>
    </w:p>
    <w:bookmarkEnd w:id="24"/>
    <w:bookmarkStart w:id="25" w:name="X37bc0e3a37d237dffd39674cd12ea628205dfb9"/>
    <w:p>
      <w:pPr>
        <w:pStyle w:val="Heading3"/>
      </w:pPr>
      <w:r>
        <w:t xml:space="preserve">Phase 4 – Testing, Launch, and Handover (Weeks 10–11)</w:t>
      </w:r>
    </w:p>
    <w:p>
      <w:pPr>
        <w:numPr>
          <w:ilvl w:val="0"/>
          <w:numId w:val="1004"/>
        </w:numPr>
        <w:pStyle w:val="Compact"/>
      </w:pPr>
      <w:r>
        <w:t xml:space="preserve">Cross-browser and cross-device quality assurance testing</w:t>
      </w:r>
    </w:p>
    <w:p>
      <w:pPr>
        <w:numPr>
          <w:ilvl w:val="0"/>
          <w:numId w:val="1004"/>
        </w:numPr>
        <w:pStyle w:val="Compact"/>
      </w:pPr>
      <w:r>
        <w:t xml:space="preserve">Security hardening and penetration testing</w:t>
      </w:r>
    </w:p>
    <w:p>
      <w:pPr>
        <w:numPr>
          <w:ilvl w:val="0"/>
          <w:numId w:val="1004"/>
        </w:numPr>
        <w:pStyle w:val="Compact"/>
      </w:pPr>
      <w:r>
        <w:t xml:space="preserve">Deployment to the client's chosen hosting environment in Germany Berlin or EU data centres</w:t>
      </w:r>
    </w:p>
    <w:p>
      <w:pPr>
        <w:numPr>
          <w:ilvl w:val="0"/>
          <w:numId w:val="1004"/>
        </w:numPr>
        <w:pStyle w:val="Compact"/>
      </w:pPr>
      <w:r>
        <w:t xml:space="preserve">Comprehensive user training session (up to 4 hours) for the client's internal team</w:t>
      </w:r>
    </w:p>
    <w:p>
      <w:pPr>
        <w:numPr>
          <w:ilvl w:val="0"/>
          <w:numId w:val="1004"/>
        </w:numPr>
        <w:pStyle w:val="Compact"/>
      </w:pPr>
      <w:r>
        <w:t xml:space="preserve">Delivery of all source files, documentation, and administrative credentials</w:t>
      </w:r>
    </w:p>
    <w:bookmarkEnd w:id="25"/>
    <w:bookmarkEnd w:id="26"/>
    <w:bookmarkStart w:id="27" w:name="X99c9499de5c98ccaacfa8f1f6f8363d33ed1c39"/>
    <w:p>
      <w:pPr>
        <w:pStyle w:val="Heading2"/>
      </w:pPr>
      <w:r>
        <w:t xml:space="preserve">3. Financial Breakdown – Quotation Estimate Pricing</w:t>
      </w:r>
    </w:p>
    <w:p>
      <w:pPr>
        <w:pStyle w:val="FirstParagraph"/>
      </w:pPr>
      <w:r>
        <w:t xml:space="preserve">The following table constitutes the core financial section of this Quotation Estimate. All figures are in Euro (EUR) and are exclusive of travel expenses, which are billed at cost if on-site meetings beyond the initial consultation are required within the Germany Berlin metropolitan area.</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 Service</w:t>
            </w:r>
          </w:p>
        </w:tc>
        <w:tc>
          <w:tcPr/>
          <w:p>
            <w:pPr>
              <w:pStyle w:val="Compact"/>
              <w:jc w:val="left"/>
            </w:pPr>
            <w:r>
              <w:t xml:space="preserve">Description</w:t>
            </w:r>
          </w:p>
        </w:tc>
        <w:tc>
          <w:tcPr/>
          <w:p>
            <w:pPr>
              <w:pStyle w:val="Compact"/>
              <w:jc w:val="left"/>
            </w:pPr>
            <w:r>
              <w:t xml:space="preserve">Hours</w:t>
            </w:r>
          </w:p>
        </w:tc>
        <w:tc>
          <w:tcPr/>
          <w:p>
            <w:pPr>
              <w:pStyle w:val="Compact"/>
              <w:jc w:val="left"/>
            </w:pPr>
            <w:r>
              <w:t xml:space="preserve">Rate (EUR/hr)</w:t>
            </w:r>
          </w:p>
        </w:tc>
        <w:tc>
          <w:tcPr/>
          <w:p>
            <w:pPr>
              <w:pStyle w:val="Compact"/>
              <w:jc w:val="left"/>
            </w:pPr>
            <w:r>
              <w:t xml:space="preserve">Subtotal (EUR)</w:t>
            </w:r>
          </w:p>
        </w:tc>
      </w:tr>
      <w:tr>
        <w:tc>
          <w:tcPr/>
          <w:p>
            <w:pPr>
              <w:pStyle w:val="Compact"/>
              <w:jc w:val="left"/>
            </w:pPr>
            <w:r>
              <w:t xml:space="preserve">Discovery &amp; Strategy</w:t>
            </w:r>
          </w:p>
        </w:tc>
        <w:tc>
          <w:tcPr/>
          <w:p>
            <w:pPr>
              <w:pStyle w:val="Compact"/>
              <w:jc w:val="left"/>
            </w:pPr>
            <w:r>
              <w:t xml:space="preserve">Research, brief, sitemap, personas</w:t>
            </w:r>
          </w:p>
        </w:tc>
        <w:tc>
          <w:tcPr/>
          <w:p>
            <w:pPr>
              <w:pStyle w:val="Compact"/>
              <w:jc w:val="left"/>
            </w:pPr>
            <w:r>
              <w:t xml:space="preserve">40</w:t>
            </w:r>
          </w:p>
        </w:tc>
        <w:tc>
          <w:tcPr/>
          <w:p>
            <w:pPr>
              <w:pStyle w:val="Compact"/>
              <w:jc w:val="left"/>
            </w:pPr>
            <w:r>
              <w:t xml:space="preserve">95</w:t>
            </w:r>
          </w:p>
        </w:tc>
        <w:tc>
          <w:tcPr/>
          <w:p>
            <w:pPr>
              <w:pStyle w:val="Compact"/>
              <w:jc w:val="left"/>
            </w:pPr>
            <w:r>
              <w:t xml:space="preserve">3,800.00</w:t>
            </w:r>
          </w:p>
        </w:tc>
      </w:tr>
      <w:tr>
        <w:tc>
          <w:tcPr/>
          <w:p>
            <w:pPr>
              <w:pStyle w:val="Compact"/>
              <w:jc w:val="left"/>
            </w:pPr>
            <w:r>
              <w:t xml:space="preserve">UI/UX Design</w:t>
            </w:r>
          </w:p>
        </w:tc>
        <w:tc>
          <w:tcPr/>
          <w:p>
            <w:pPr>
              <w:pStyle w:val="Compact"/>
              <w:jc w:val="left"/>
            </w:pPr>
            <w:r>
              <w:t xml:space="preserve">Wireframes, visual design, revisions</w:t>
            </w:r>
          </w:p>
        </w:tc>
        <w:tc>
          <w:tcPr/>
          <w:p>
            <w:pPr>
              <w:pStyle w:val="Compact"/>
              <w:jc w:val="left"/>
            </w:pPr>
            <w:r>
              <w:t xml:space="preserve">80</w:t>
            </w:r>
          </w:p>
        </w:tc>
        <w:tc>
          <w:tcPr/>
          <w:p>
            <w:pPr>
              <w:pStyle w:val="Compact"/>
              <w:jc w:val="left"/>
            </w:pPr>
            <w:r>
              <w:t xml:space="preserve">95</w:t>
            </w:r>
          </w:p>
        </w:tc>
        <w:tc>
          <w:tcPr/>
          <w:p>
            <w:pPr>
              <w:pStyle w:val="Compact"/>
              <w:jc w:val="left"/>
            </w:pPr>
            <w:r>
              <w:t xml:space="preserve">7,600.00</w:t>
            </w:r>
          </w:p>
        </w:tc>
      </w:tr>
      <w:tr>
        <w:tc>
          <w:tcPr/>
          <w:p>
            <w:pPr>
              <w:pStyle w:val="Compact"/>
              <w:jc w:val="left"/>
            </w:pPr>
            <w:r>
              <w:t xml:space="preserve">Front-End Development</w:t>
            </w:r>
          </w:p>
        </w:tc>
        <w:tc>
          <w:tcPr/>
          <w:p>
            <w:pPr>
              <w:pStyle w:val="Compact"/>
              <w:jc w:val="left"/>
            </w:pPr>
            <w:r>
              <w:t xml:space="preserve">HTML/CSS/JS, responsive build</w:t>
            </w:r>
          </w:p>
        </w:tc>
        <w:tc>
          <w:tcPr/>
          <w:p>
            <w:pPr>
              <w:pStyle w:val="Compact"/>
              <w:jc w:val="left"/>
            </w:pPr>
            <w:r>
              <w:t xml:space="preserve">100</w:t>
            </w:r>
          </w:p>
        </w:tc>
        <w:tc>
          <w:tcPr/>
          <w:p>
            <w:pPr>
              <w:pStyle w:val="Compact"/>
              <w:jc w:val="left"/>
            </w:pPr>
            <w:r>
              <w:t xml:space="preserve">90</w:t>
            </w:r>
          </w:p>
        </w:tc>
        <w:tc>
          <w:tcPr/>
          <w:p>
            <w:pPr>
              <w:pStyle w:val="Compact"/>
              <w:jc w:val="left"/>
            </w:pPr>
            <w:r>
              <w:t xml:space="preserve">9,000.00</w:t>
            </w:r>
          </w:p>
        </w:tc>
      </w:tr>
      <w:tr>
        <w:tc>
          <w:tcPr/>
          <w:p>
            <w:pPr>
              <w:pStyle w:val="Compact"/>
              <w:jc w:val="left"/>
            </w:pPr>
            <w:r>
              <w:t xml:space="preserve">Back-End &amp; CMS Integration</w:t>
            </w:r>
          </w:p>
        </w:tc>
        <w:tc>
          <w:tcPr/>
          <w:p>
            <w:pPr>
              <w:pStyle w:val="Compact"/>
              <w:jc w:val="left"/>
            </w:pPr>
            <w:r>
              <w:t xml:space="preserve">CMS setup, forms, DSGVO compliance</w:t>
            </w:r>
          </w:p>
        </w:tc>
        <w:tc>
          <w:tcPr/>
          <w:p>
            <w:pPr>
              <w:pStyle w:val="Compact"/>
              <w:jc w:val="left"/>
            </w:pPr>
            <w:r>
              <w:t xml:space="preserve">60</w:t>
            </w:r>
          </w:p>
        </w:tc>
        <w:tc>
          <w:tcPr/>
          <w:p>
            <w:pPr>
              <w:pStyle w:val="Compact"/>
              <w:jc w:val="left"/>
            </w:pPr>
            <w:r>
              <w:t xml:space="preserve">90</w:t>
            </w:r>
          </w:p>
        </w:tc>
        <w:tc>
          <w:tcPr/>
          <w:p>
            <w:pPr>
              <w:pStyle w:val="Compact"/>
              <w:jc w:val="left"/>
            </w:pPr>
            <w:r>
              <w:t xml:space="preserve">5,400.00</w:t>
            </w:r>
          </w:p>
        </w:tc>
      </w:tr>
      <w:tr>
        <w:tc>
          <w:tcPr/>
          <w:p>
            <w:pPr>
              <w:pStyle w:val="Compact"/>
              <w:jc w:val="left"/>
            </w:pPr>
            <w:r>
              <w:t xml:space="preserve">SEO &amp; Performance</w:t>
            </w:r>
          </w:p>
        </w:tc>
        <w:tc>
          <w:tcPr/>
          <w:p>
            <w:pPr>
              <w:pStyle w:val="Compact"/>
              <w:jc w:val="left"/>
            </w:pPr>
            <w:r>
              <w:t xml:space="preserve">On-page SEO, speed optimisation</w:t>
            </w:r>
          </w:p>
        </w:tc>
        <w:tc>
          <w:tcPr/>
          <w:p>
            <w:pPr>
              <w:pStyle w:val="Compact"/>
              <w:jc w:val="left"/>
            </w:pPr>
            <w:r>
              <w:t xml:space="preserve">30</w:t>
            </w:r>
          </w:p>
        </w:tc>
        <w:tc>
          <w:tcPr/>
          <w:p>
            <w:pPr>
              <w:pStyle w:val="Compact"/>
              <w:jc w:val="left"/>
            </w:pPr>
            <w:r>
              <w:t xml:space="preserve">90</w:t>
            </w:r>
          </w:p>
        </w:tc>
        <w:tc>
          <w:tcPr/>
          <w:p>
            <w:pPr>
              <w:pStyle w:val="Compact"/>
              <w:jc w:val="left"/>
            </w:pPr>
            <w:r>
              <w:t xml:space="preserve">2,700.00</w:t>
            </w:r>
          </w:p>
        </w:tc>
      </w:tr>
      <w:tr>
        <w:tc>
          <w:tcPr/>
          <w:p>
            <w:pPr>
              <w:pStyle w:val="Compact"/>
              <w:jc w:val="left"/>
            </w:pPr>
            <w:r>
              <w:t xml:space="preserve">QA, Launch &amp; Training</w:t>
            </w:r>
          </w:p>
        </w:tc>
        <w:tc>
          <w:tcPr/>
          <w:p>
            <w:pPr>
              <w:pStyle w:val="Compact"/>
              <w:jc w:val="left"/>
            </w:pPr>
            <w:r>
              <w:t xml:space="preserve">Testing, deployment, handover</w:t>
            </w:r>
          </w:p>
        </w:tc>
        <w:tc>
          <w:tcPr/>
          <w:p>
            <w:pPr>
              <w:pStyle w:val="Compact"/>
              <w:jc w:val="left"/>
            </w:pPr>
            <w:r>
              <w:t xml:space="preserve">30</w:t>
            </w:r>
          </w:p>
        </w:tc>
        <w:tc>
          <w:tcPr/>
          <w:p>
            <w:pPr>
              <w:pStyle w:val="Compact"/>
              <w:jc w:val="left"/>
            </w:pPr>
            <w:r>
              <w:t xml:space="preserve">85</w:t>
            </w:r>
          </w:p>
        </w:tc>
        <w:tc>
          <w:tcPr/>
          <w:p>
            <w:pPr>
              <w:pStyle w:val="Compact"/>
              <w:jc w:val="left"/>
            </w:pPr>
            <w:r>
              <w:t xml:space="preserve">2,550.00</w:t>
            </w:r>
          </w:p>
        </w:tc>
      </w:tr>
      <w:tr>
        <w:tc>
          <w:tcPr>
            <w:gridSpan w:val="4"/>
          </w:tcPr>
          <w:p>
            <w:pPr>
              <w:pStyle w:val="Compact"/>
              <w:jc w:val="left"/>
            </w:pPr>
            <w:r>
              <w:t xml:space="preserve">Subtotal (net)</w:t>
            </w:r>
          </w:p>
        </w:tc>
        <w:tc>
          <w:tcPr/>
          <w:p>
            <w:pPr>
              <w:pStyle w:val="Compact"/>
              <w:jc w:val="left"/>
            </w:pPr>
            <w:r>
              <w:t xml:space="preserve">31,050.00</w:t>
            </w:r>
          </w:p>
        </w:tc>
      </w:tr>
      <w:tr>
        <w:tc>
          <w:tcPr>
            <w:gridSpan w:val="4"/>
          </w:tcPr>
          <w:p>
            <w:pPr>
              <w:pStyle w:val="Compact"/>
              <w:jc w:val="left"/>
            </w:pPr>
            <w:r>
              <w:t xml:space="preserve">Mehrwertsteuer (19% VAT)</w:t>
            </w:r>
          </w:p>
        </w:tc>
        <w:tc>
          <w:tcPr/>
          <w:p>
            <w:pPr>
              <w:pStyle w:val="Compact"/>
              <w:jc w:val="left"/>
            </w:pPr>
            <w:r>
              <w:t xml:space="preserve">5,899.50</w:t>
            </w:r>
          </w:p>
        </w:tc>
      </w:tr>
      <w:tr>
        <w:tc>
          <w:tcPr>
            <w:gridSpan w:val="4"/>
          </w:tcPr>
          <w:p>
            <w:pPr>
              <w:pStyle w:val="Compact"/>
              <w:jc w:val="left"/>
            </w:pPr>
            <w:r>
              <w:rPr>
                <w:bCs/>
                <w:b/>
              </w:rPr>
              <w:t xml:space="preserve">Total (gross)</w:t>
            </w:r>
          </w:p>
        </w:tc>
        <w:tc>
          <w:tcPr/>
          <w:p>
            <w:pPr>
              <w:pStyle w:val="Compact"/>
              <w:jc w:val="left"/>
            </w:pPr>
            <w:r>
              <w:rPr>
                <w:bCs/>
                <w:b/>
              </w:rPr>
              <w:t xml:space="preserve">36,949.50</w:t>
            </w:r>
          </w:p>
        </w:tc>
      </w:tr>
    </w:tbl>
    <w:bookmarkEnd w:id="27"/>
    <w:bookmarkStart w:id="28" w:name="payment-terms"/>
    <w:p>
      <w:pPr>
        <w:pStyle w:val="Heading2"/>
      </w:pPr>
      <w:r>
        <w:t xml:space="preserve">4. Payment Terms</w:t>
      </w:r>
    </w:p>
    <w:p>
      <w:pPr>
        <w:pStyle w:val="FirstParagraph"/>
      </w:pPr>
      <w:r>
        <w:t xml:space="preserve">In accordance with standard commercial practice in Germany Berlin, payment for the services outlined in this Quotation Estimate shall be made as follows:</w:t>
      </w:r>
    </w:p>
    <w:p>
      <w:pPr>
        <w:numPr>
          <w:ilvl w:val="0"/>
          <w:numId w:val="1005"/>
        </w:numPr>
        <w:pStyle w:val="Compact"/>
      </w:pPr>
      <w:r>
        <w:rPr>
          <w:bCs/>
          <w:b/>
        </w:rPr>
        <w:t xml:space="preserve">30% advance payment</w:t>
      </w:r>
      <w:r>
        <w:t xml:space="preserve"> </w:t>
      </w:r>
      <w:r>
        <w:t xml:space="preserve">(EUR 11,084.85 gross) due upon signing of the service agreement and acceptance of this Quotation Estimate.</w:t>
      </w:r>
    </w:p>
    <w:p>
      <w:pPr>
        <w:numPr>
          <w:ilvl w:val="0"/>
          <w:numId w:val="1005"/>
        </w:numPr>
        <w:pStyle w:val="Compact"/>
      </w:pPr>
      <w:r>
        <w:rPr>
          <w:bCs/>
          <w:b/>
        </w:rPr>
        <w:t xml:space="preserve">40% milestone payment</w:t>
      </w:r>
      <w:r>
        <w:t xml:space="preserve"> </w:t>
      </w:r>
      <w:r>
        <w:t xml:space="preserve">(EUR 14,779.80 gross) due upon approval of the final UI/UX design deliverables.</w:t>
      </w:r>
    </w:p>
    <w:p>
      <w:pPr>
        <w:numPr>
          <w:ilvl w:val="0"/>
          <w:numId w:val="1005"/>
        </w:numPr>
        <w:pStyle w:val="Compact"/>
      </w:pPr>
      <w:r>
        <w:rPr>
          <w:bCs/>
          <w:b/>
        </w:rPr>
        <w:t xml:space="preserve">30% final payment</w:t>
      </w:r>
      <w:r>
        <w:t xml:space="preserve"> </w:t>
      </w:r>
      <w:r>
        <w:t xml:space="preserve">(EUR 11,084.85 gross) due within 14 calendar days of successful website launch and handover.</w:t>
      </w:r>
    </w:p>
    <w:p>
      <w:pPr>
        <w:pStyle w:val="FirstParagraph"/>
      </w:pPr>
      <w:r>
        <w:t xml:space="preserve">All invoices shall be issued in accordance with §14 UStG. Payment is to be made via bank transfer (SEPA) to the account details provided on each individual invoice. Late payments shall incur statutory interest at the rate of 8 percentage points above the European Central Bank base rate, as stipulated under §288 of the German Civil Code (BGB).</w:t>
      </w:r>
    </w:p>
    <w:bookmarkEnd w:id="28"/>
    <w:bookmarkStart w:id="29" w:name="validity-acceptance-and-legal-notes"/>
    <w:p>
      <w:pPr>
        <w:pStyle w:val="Heading2"/>
      </w:pPr>
      <w:r>
        <w:t xml:space="preserve">5. Validity, Acceptance, and Legal Notes</w:t>
      </w:r>
    </w:p>
    <w:p>
      <w:pPr>
        <w:pStyle w:val="FirstParagraph"/>
      </w:pPr>
      <w:r>
        <w:t xml:space="preserve">This Quotation Estimate is valid for a period of thirty (30) calendar days from the date of issue. It does not constitute a binding contract until both parties have signed and returned a copy. Upon acceptance, the terms and conditions of PixelCraft Studio GmbH, registered at the Amtsgericht Berlin-Charlottenburg (HRB 123456 B), shall apply. All disputes arising from this Quotation Estimate or the resulting service agreement shall be governed by the laws of the Federal Republic of Germany, with exclusive jurisdiction at the courts of Berlin, Germany.</w:t>
      </w:r>
    </w:p>
    <w:p>
      <w:pPr>
        <w:pStyle w:val="BodyText"/>
      </w:pPr>
      <w:r>
        <w:t xml:space="preserve">PixelCraft Studio GmbH, as the Web Designer provider, warrants that all work delivered under this Quotation Estimate shall be original, free from third-party intellectual property claims, and performed with the professional diligence expected of a Web Designer operating in the Germany Berlin market. A limited warranty period of twelve (12) months shall apply to all development deliverables, covering the correction of defects at no additional charge.</w:t>
      </w:r>
    </w:p>
    <w:p>
      <w:pPr>
        <w:pStyle w:val="BodyText"/>
      </w:pPr>
      <w:r>
        <w:rPr>
          <w:bCs/>
          <w:b/>
        </w:rPr>
        <w:t xml:space="preserve">Note:</w:t>
      </w:r>
      <w:r>
        <w:t xml:space="preserve"> </w:t>
      </w:r>
      <w:r>
        <w:t xml:space="preserve">This Quotation Estimate is prepared exclusively for the named client and may not be transferred or used for any other purpose. Any changes to the scope of work after acceptance of this Quotation Estimate will be subject to a revised Quotation Estimate issued by our Web Designer project team. All project communications will be conducted in English or German at the client's preference.</w:t>
      </w:r>
    </w:p>
    <w:bookmarkEnd w:id="29"/>
    <w:bookmarkStart w:id="30" w:name="acceptance-and-signatures"/>
    <w:p>
      <w:pPr>
        <w:pStyle w:val="Heading2"/>
      </w:pPr>
      <w:r>
        <w:t xml:space="preserve">6. Acceptance and Signatures</w:t>
      </w:r>
    </w:p>
    <w:p>
      <w:pPr>
        <w:pStyle w:val="FirstParagraph"/>
      </w:pPr>
      <w:r>
        <w:t xml:space="preserve">By signing below, both parties acknowledge that they have read, understood, and agree to the terms set forth in this Quotation Estimate for Web Designer services in Germany Berlin.</w:t>
      </w:r>
    </w:p>
    <w:p>
      <w:pPr>
        <w:pStyle w:val="BodyText"/>
      </w:pPr>
      <w:r>
        <w:rPr>
          <w:bCs/>
          <w:b/>
        </w:rPr>
        <w:t xml:space="preserve">For PixelCraft Studio GmbH (Web Designer)</w:t>
      </w:r>
    </w:p>
    <w:p>
      <w:pPr>
        <w:pStyle w:val="BodyText"/>
      </w:pPr>
      <w:r>
        <w:t xml:space="preserve">Name: Stefan Krüger</w:t>
      </w:r>
    </w:p>
    <w:p>
      <w:pPr>
        <w:pStyle w:val="BodyText"/>
      </w:pPr>
      <w:r>
        <w:t xml:space="preserve">Title: Managing Director</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For the Client</w:t>
      </w:r>
    </w:p>
    <w:p>
      <w:pPr>
        <w:pStyle w:val="BodyText"/>
      </w:pPr>
      <w:r>
        <w:t xml:space="preserve">Name: ___________________________</w:t>
      </w:r>
    </w:p>
    <w:p>
      <w:pPr>
        <w:pStyle w:val="BodyText"/>
      </w:pPr>
      <w:r>
        <w:t xml:space="preserve">Title: ___________________________</w:t>
      </w:r>
    </w:p>
    <w:p>
      <w:pPr>
        <w:pStyle w:val="BodyText"/>
      </w:pPr>
      <w:r>
        <w:t xml:space="preserve">Signature: ___________________________</w:t>
      </w:r>
    </w:p>
    <w:p>
      <w:pPr>
        <w:pStyle w:val="BodyText"/>
      </w:pPr>
      <w:r>
        <w:t xml:space="preserve">Date: ___________________________</w:t>
      </w:r>
    </w:p>
    <w:p>
      <w:pPr>
        <w:pStyle w:val="BodyText"/>
      </w:pPr>
      <w:r>
        <w:t xml:space="preserve">PixelCraft Studio GmbH · Frankfurter Allee 120, 10247 Berlin, Germany · USt-IdNr.: DE 312 456 789 · Amtsgericht Berlin-Charlottenburg HRB 123456 B</w:t>
      </w:r>
    </w:p>
    <w:p>
      <w:pPr>
        <w:pStyle w:val="BodyText"/>
      </w:pPr>
      <w:r>
        <w:t xml:space="preserve">This Quotation Estimate was generated on 14 June 2025. Document reference: QTE-2025-BER-0472. All rights reserved.</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Web Designer Services - Germany Berlin</dc:title>
  <dc:creator/>
  <dc:language>en</dc:language>
  <cp:keywords/>
  <dcterms:created xsi:type="dcterms:W3CDTF">2026-10-10T00:32:29Z</dcterms:created>
  <dcterms:modified xsi:type="dcterms:W3CDTF">2026-10-10T00:32:29Z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