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pixelcraft-digital-studio"/>
    <w:p>
      <w:pPr>
        <w:pStyle w:val="Heading1"/>
      </w:pPr>
      <w:r>
        <w:t xml:space="preserve">PixelCraft Digital Studio</w:t>
      </w:r>
    </w:p>
    <w:p>
      <w:pPr>
        <w:pStyle w:val="FirstParagraph"/>
      </w:pPr>
      <w:r>
        <w:t xml:space="preserve">123 HaYarkon Street, Tel Aviv-Yafo, Israel 64231</w:t>
      </w:r>
    </w:p>
    <w:p>
      <w:pPr>
        <w:pStyle w:val="BodyText"/>
      </w:pPr>
      <w:r>
        <w:t xml:space="preserve">Tel: +972-3-555-0142 | Email: quotes@pixelcraft-il.com</w:t>
      </w:r>
    </w:p>
    <w:p>
      <w:pPr>
        <w:pStyle w:val="BodyText"/>
      </w:pPr>
      <w:r>
        <w:t xml:space="preserve">VAT No. 512345678 | License: IL-2024-WD-8842</w:t>
      </w:r>
    </w:p>
    <w:bookmarkEnd w:id="20"/>
    <w:p>
      <w:pPr>
        <w:pStyle w:val="BodyText"/>
      </w:pPr>
      <w:r>
        <w:t xml:space="preserve">Quotation Estimate</w:t>
      </w:r>
    </w:p>
    <w:p>
      <w:pPr>
        <w:pStyle w:val="BodyText"/>
      </w:pPr>
      <w:r>
        <w:t xml:space="preserve">Professional Web Designer Services — Israel Tel Aviv</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QE-2025-TLV-0347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Israeli New Shekel (ILS / ₪)</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Contact Person:</w:t>
      </w:r>
      <w:r>
        <w:t xml:space="preserve"> </w:t>
      </w:r>
      <w:r>
        <w:t xml:space="preserve">[Full Name]</w:t>
      </w:r>
    </w:p>
    <w:p>
      <w:pPr>
        <w:pStyle w:val="BodyText"/>
      </w:pPr>
      <w:r>
        <w:rPr>
          <w:bCs/>
          <w:b/>
        </w:rPr>
        <w:t xml:space="preserve">Address:</w:t>
      </w:r>
      <w:r>
        <w:t xml:space="preserve"> </w:t>
      </w:r>
      <w:r>
        <w:t xml:space="preserve">[Street, City, Israel]</w:t>
      </w:r>
    </w:p>
    <w:p>
      <w:pPr>
        <w:pStyle w:val="BodyText"/>
      </w:pPr>
      <w:r>
        <w:rPr>
          <w:bCs/>
          <w:b/>
        </w:rPr>
        <w:t xml:space="preserve">Email:</w:t>
      </w:r>
      <w:r>
        <w:t xml:space="preserve"> </w:t>
      </w:r>
      <w:r>
        <w:t xml:space="preserve">[client@email.com]</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PixelCraft Digital Studio, a registered Web Designer firm operating in Israel Tel Aviv, to provide the client with a comprehensive and transparent breakdown of costs associated with the design, development, and deployment of a professional website. This document serves as a binding proposal once accepted by both parties and outlines the full scope of Web Designer services to be delivered, the associated pricing in Israeli New Shekels, the project timeline, and all applicable terms and conditions governing the engagement in the Israel Tel Aviv market.</w:t>
      </w:r>
    </w:p>
    <w:bookmarkEnd w:id="23"/>
    <w:bookmarkStart w:id="24" w:name="scope-of-web-designer-services"/>
    <w:p>
      <w:pPr>
        <w:pStyle w:val="Heading2"/>
      </w:pPr>
      <w:r>
        <w:t xml:space="preserve">2. Scope of Web Designer Services</w:t>
      </w:r>
    </w:p>
    <w:p>
      <w:pPr>
        <w:pStyle w:val="FirstParagraph"/>
      </w:pPr>
      <w:r>
        <w:t xml:space="preserve">As a specialized Web Designer based in Israel Tel Aviv, PixelCraft Digital Studio will deliver the following services under this Quotation Estimate:</w:t>
      </w:r>
    </w:p>
    <w:p>
      <w:pPr>
        <w:numPr>
          <w:ilvl w:val="0"/>
          <w:numId w:val="1001"/>
        </w:numPr>
        <w:pStyle w:val="Compact"/>
      </w:pPr>
      <w:r>
        <w:rPr>
          <w:bCs/>
          <w:b/>
        </w:rPr>
        <w:t xml:space="preserve">Discovery &amp; Strategy:</w:t>
      </w:r>
      <w:r>
        <w:t xml:space="preserve"> </w:t>
      </w:r>
      <w:r>
        <w:t xml:space="preserve">Initial consultation, competitor analysis within the Israel Tel Aviv digital landscape, user persona development, and information architecture planning.</w:t>
      </w:r>
    </w:p>
    <w:p>
      <w:pPr>
        <w:numPr>
          <w:ilvl w:val="0"/>
          <w:numId w:val="1001"/>
        </w:numPr>
        <w:pStyle w:val="Compact"/>
      </w:pPr>
      <w:r>
        <w:rPr>
          <w:bCs/>
          <w:b/>
        </w:rPr>
        <w:t xml:space="preserve">UI/UX Design:</w:t>
      </w:r>
      <w:r>
        <w:t xml:space="preserve"> </w:t>
      </w:r>
      <w:r>
        <w:t xml:space="preserve">Creation of wireframes, high-fidelity mockups, interactive prototypes, and a complete design system including color palette, typography, and component library tailored to the client's brand identity.</w:t>
      </w:r>
    </w:p>
    <w:p>
      <w:pPr>
        <w:numPr>
          <w:ilvl w:val="0"/>
          <w:numId w:val="1001"/>
        </w:numPr>
        <w:pStyle w:val="Compact"/>
      </w:pPr>
      <w:r>
        <w:rPr>
          <w:bCs/>
          <w:b/>
        </w:rPr>
        <w:t xml:space="preserve">Responsive Web Development:</w:t>
      </w:r>
      <w:r>
        <w:t xml:space="preserve"> </w:t>
      </w:r>
      <w:r>
        <w:t xml:space="preserve">Full front-end and back-end development using modern frameworks (React, Node.js, or WordPress depending on client preference), ensuring full responsiveness across desktop, tablet, and mobile devices.</w:t>
      </w:r>
    </w:p>
    <w:p>
      <w:pPr>
        <w:numPr>
          <w:ilvl w:val="0"/>
          <w:numId w:val="1001"/>
        </w:numPr>
        <w:pStyle w:val="Compact"/>
      </w:pPr>
      <w:r>
        <w:rPr>
          <w:bCs/>
          <w:b/>
        </w:rPr>
        <w:t xml:space="preserve">Content Integration:</w:t>
      </w:r>
      <w:r>
        <w:t xml:space="preserve"> </w:t>
      </w:r>
      <w:r>
        <w:t xml:space="preserve">Structured content placement, image optimization, and multilingual support (Hebrew RTL and English LTR) as required for the Israel Tel Aviv audience.</w:t>
      </w:r>
    </w:p>
    <w:p>
      <w:pPr>
        <w:numPr>
          <w:ilvl w:val="0"/>
          <w:numId w:val="1001"/>
        </w:numPr>
        <w:pStyle w:val="Compact"/>
      </w:pPr>
      <w:r>
        <w:rPr>
          <w:bCs/>
          <w:b/>
        </w:rPr>
        <w:t xml:space="preserve">SEO &amp; Performance Optimization:</w:t>
      </w:r>
      <w:r>
        <w:t xml:space="preserve"> </w:t>
      </w:r>
      <w:r>
        <w:t xml:space="preserve">On-page SEO implementation, Core Web Vitals optimization, accessibility compliance (WCAG 2.1 AA), and speed tuning.</w:t>
      </w:r>
    </w:p>
    <w:p>
      <w:pPr>
        <w:numPr>
          <w:ilvl w:val="0"/>
          <w:numId w:val="1001"/>
        </w:numPr>
        <w:pStyle w:val="Compact"/>
      </w:pPr>
      <w:r>
        <w:rPr>
          <w:bCs/>
          <w:b/>
        </w:rPr>
        <w:t xml:space="preserve">Deployment &amp; Training:</w:t>
      </w:r>
      <w:r>
        <w:t xml:space="preserve"> </w:t>
      </w:r>
      <w:r>
        <w:t xml:space="preserve">Domain configuration, SSL certificate installation, hosting setup, CMS training session for the client team, and a 30-day post-launch support window.</w:t>
      </w:r>
    </w:p>
    <w:bookmarkEnd w:id="24"/>
    <w:bookmarkStart w:id="25" w:name="itemized-pricing-breakdown"/>
    <w:p>
      <w:pPr>
        <w:pStyle w:val="Heading2"/>
      </w:pPr>
      <w:r>
        <w:t xml:space="preserve">3. Itemized Pricing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Estimated Hours</w:t>
            </w:r>
          </w:p>
        </w:tc>
        <w:tc>
          <w:tcPr/>
          <w:p>
            <w:pPr>
              <w:pStyle w:val="Compact"/>
              <w:jc w:val="left"/>
            </w:pPr>
            <w:r>
              <w:t xml:space="preserve">Rate (ILS/hr)</w:t>
            </w:r>
          </w:p>
        </w:tc>
        <w:tc>
          <w:tcPr/>
          <w:p>
            <w:pPr>
              <w:pStyle w:val="Compact"/>
              <w:jc w:val="left"/>
            </w:pPr>
            <w:r>
              <w:t xml:space="preserve">Subtotal (ILS)</w:t>
            </w:r>
          </w:p>
        </w:tc>
      </w:tr>
      <w:tr>
        <w:tc>
          <w:tcPr/>
          <w:p>
            <w:pPr>
              <w:pStyle w:val="Compact"/>
              <w:jc w:val="left"/>
            </w:pPr>
            <w:r>
              <w:t xml:space="preserve">01</w:t>
            </w:r>
          </w:p>
        </w:tc>
        <w:tc>
          <w:tcPr/>
          <w:p>
            <w:pPr>
              <w:pStyle w:val="Compact"/>
              <w:jc w:val="left"/>
            </w:pPr>
            <w:r>
              <w:t xml:space="preserve">Discovery, Strategy &amp; Information Architecture</w:t>
            </w:r>
          </w:p>
        </w:tc>
        <w:tc>
          <w:tcPr/>
          <w:p>
            <w:pPr>
              <w:pStyle w:val="Compact"/>
              <w:jc w:val="left"/>
            </w:pPr>
            <w:r>
              <w:t xml:space="preserve">24</w:t>
            </w:r>
          </w:p>
        </w:tc>
        <w:tc>
          <w:tcPr/>
          <w:p>
            <w:pPr>
              <w:pStyle w:val="Compact"/>
              <w:jc w:val="left"/>
            </w:pPr>
            <w:r>
              <w:t xml:space="preserve">₪ 450</w:t>
            </w:r>
          </w:p>
        </w:tc>
        <w:tc>
          <w:tcPr/>
          <w:p>
            <w:pPr>
              <w:pStyle w:val="Compact"/>
              <w:jc w:val="left"/>
            </w:pPr>
            <w:r>
              <w:t xml:space="preserve">₪ 10,800</w:t>
            </w:r>
          </w:p>
        </w:tc>
      </w:tr>
      <w:tr>
        <w:tc>
          <w:tcPr/>
          <w:p>
            <w:pPr>
              <w:pStyle w:val="Compact"/>
              <w:jc w:val="left"/>
            </w:pPr>
            <w:r>
              <w:t xml:space="preserve">02</w:t>
            </w:r>
          </w:p>
        </w:tc>
        <w:tc>
          <w:tcPr/>
          <w:p>
            <w:pPr>
              <w:pStyle w:val="Compact"/>
              <w:jc w:val="left"/>
            </w:pPr>
            <w:r>
              <w:t xml:space="preserve">UI/UX Design &amp; Prototyping</w:t>
            </w:r>
          </w:p>
        </w:tc>
        <w:tc>
          <w:tcPr/>
          <w:p>
            <w:pPr>
              <w:pStyle w:val="Compact"/>
              <w:jc w:val="left"/>
            </w:pPr>
            <w:r>
              <w:t xml:space="preserve">48</w:t>
            </w:r>
          </w:p>
        </w:tc>
        <w:tc>
          <w:tcPr/>
          <w:p>
            <w:pPr>
              <w:pStyle w:val="Compact"/>
              <w:jc w:val="left"/>
            </w:pPr>
            <w:r>
              <w:t xml:space="preserve">₪ 480</w:t>
            </w:r>
          </w:p>
        </w:tc>
        <w:tc>
          <w:tcPr/>
          <w:p>
            <w:pPr>
              <w:pStyle w:val="Compact"/>
              <w:jc w:val="left"/>
            </w:pPr>
            <w:r>
              <w:t xml:space="preserve">₪ 23,040</w:t>
            </w:r>
          </w:p>
        </w:tc>
      </w:tr>
      <w:tr>
        <w:tc>
          <w:tcPr/>
          <w:p>
            <w:pPr>
              <w:pStyle w:val="Compact"/>
              <w:jc w:val="left"/>
            </w:pPr>
            <w:r>
              <w:t xml:space="preserve">03</w:t>
            </w:r>
          </w:p>
        </w:tc>
        <w:tc>
          <w:tcPr/>
          <w:p>
            <w:pPr>
              <w:pStyle w:val="Compact"/>
              <w:jc w:val="left"/>
            </w:pPr>
            <w:r>
              <w:t xml:space="preserve">Responsive Web Development (Front-End &amp; Back-End)</w:t>
            </w:r>
          </w:p>
        </w:tc>
        <w:tc>
          <w:tcPr/>
          <w:p>
            <w:pPr>
              <w:pStyle w:val="Compact"/>
              <w:jc w:val="left"/>
            </w:pPr>
            <w:r>
              <w:t xml:space="preserve">80</w:t>
            </w:r>
          </w:p>
        </w:tc>
        <w:tc>
          <w:tcPr/>
          <w:p>
            <w:pPr>
              <w:pStyle w:val="Compact"/>
              <w:jc w:val="left"/>
            </w:pPr>
            <w:r>
              <w:t xml:space="preserve">₪ 520</w:t>
            </w:r>
          </w:p>
        </w:tc>
        <w:tc>
          <w:tcPr/>
          <w:p>
            <w:pPr>
              <w:pStyle w:val="Compact"/>
              <w:jc w:val="left"/>
            </w:pPr>
            <w:r>
              <w:t xml:space="preserve">₪ 41,600</w:t>
            </w:r>
          </w:p>
        </w:tc>
      </w:tr>
      <w:tr>
        <w:tc>
          <w:tcPr/>
          <w:p>
            <w:pPr>
              <w:pStyle w:val="Compact"/>
              <w:jc w:val="left"/>
            </w:pPr>
            <w:r>
              <w:t xml:space="preserve">04</w:t>
            </w:r>
          </w:p>
        </w:tc>
        <w:tc>
          <w:tcPr/>
          <w:p>
            <w:pPr>
              <w:pStyle w:val="Compact"/>
              <w:jc w:val="left"/>
            </w:pPr>
            <w:r>
              <w:t xml:space="preserve">Multilingual Content Integration (Hebrew/English)</w:t>
            </w:r>
          </w:p>
        </w:tc>
        <w:tc>
          <w:tcPr/>
          <w:p>
            <w:pPr>
              <w:pStyle w:val="Compact"/>
              <w:jc w:val="left"/>
            </w:pPr>
            <w:r>
              <w:t xml:space="preserve">20</w:t>
            </w:r>
          </w:p>
        </w:tc>
        <w:tc>
          <w:tcPr/>
          <w:p>
            <w:pPr>
              <w:pStyle w:val="Compact"/>
              <w:jc w:val="left"/>
            </w:pPr>
            <w:r>
              <w:t xml:space="preserve">₪ 450</w:t>
            </w:r>
          </w:p>
        </w:tc>
        <w:tc>
          <w:tcPr/>
          <w:p>
            <w:pPr>
              <w:pStyle w:val="Compact"/>
              <w:jc w:val="left"/>
            </w:pPr>
            <w:r>
              <w:t xml:space="preserve">₪ 9,000</w:t>
            </w:r>
          </w:p>
        </w:tc>
      </w:tr>
      <w:tr>
        <w:tc>
          <w:tcPr/>
          <w:p>
            <w:pPr>
              <w:pStyle w:val="Compact"/>
              <w:jc w:val="left"/>
            </w:pPr>
            <w:r>
              <w:t xml:space="preserve">05</w:t>
            </w:r>
          </w:p>
        </w:tc>
        <w:tc>
          <w:tcPr/>
          <w:p>
            <w:pPr>
              <w:pStyle w:val="Compact"/>
              <w:jc w:val="left"/>
            </w:pPr>
            <w:r>
              <w:t xml:space="preserve">SEO, Performance &amp; Accessibility Optimization</w:t>
            </w:r>
          </w:p>
        </w:tc>
        <w:tc>
          <w:tcPr/>
          <w:p>
            <w:pPr>
              <w:pStyle w:val="Compact"/>
              <w:jc w:val="left"/>
            </w:pPr>
            <w:r>
              <w:t xml:space="preserve">16</w:t>
            </w:r>
          </w:p>
        </w:tc>
        <w:tc>
          <w:tcPr/>
          <w:p>
            <w:pPr>
              <w:pStyle w:val="Compact"/>
              <w:jc w:val="left"/>
            </w:pPr>
            <w:r>
              <w:t xml:space="preserve">₪ 500</w:t>
            </w:r>
          </w:p>
        </w:tc>
        <w:tc>
          <w:tcPr/>
          <w:p>
            <w:pPr>
              <w:pStyle w:val="Compact"/>
              <w:jc w:val="left"/>
            </w:pPr>
            <w:r>
              <w:t xml:space="preserve">₪ 8,000</w:t>
            </w:r>
          </w:p>
        </w:tc>
      </w:tr>
      <w:tr>
        <w:tc>
          <w:tcPr/>
          <w:p>
            <w:pPr>
              <w:pStyle w:val="Compact"/>
              <w:jc w:val="left"/>
            </w:pPr>
            <w:r>
              <w:t xml:space="preserve">06</w:t>
            </w:r>
          </w:p>
        </w:tc>
        <w:tc>
          <w:tcPr/>
          <w:p>
            <w:pPr>
              <w:pStyle w:val="Compact"/>
              <w:jc w:val="left"/>
            </w:pPr>
            <w:r>
              <w:t xml:space="preserve">Deployment, CMS Training &amp; 30-Day Support</w:t>
            </w:r>
          </w:p>
        </w:tc>
        <w:tc>
          <w:tcPr/>
          <w:p>
            <w:pPr>
              <w:pStyle w:val="Compact"/>
              <w:jc w:val="left"/>
            </w:pPr>
            <w:r>
              <w:t xml:space="preserve">12</w:t>
            </w:r>
          </w:p>
        </w:tc>
        <w:tc>
          <w:tcPr/>
          <w:p>
            <w:pPr>
              <w:pStyle w:val="Compact"/>
              <w:jc w:val="left"/>
            </w:pPr>
            <w:r>
              <w:t xml:space="preserve">₪ 450</w:t>
            </w:r>
          </w:p>
        </w:tc>
        <w:tc>
          <w:tcPr/>
          <w:p>
            <w:pPr>
              <w:pStyle w:val="Compact"/>
              <w:jc w:val="left"/>
            </w:pPr>
            <w:r>
              <w:t xml:space="preserve">₪ 5,400</w:t>
            </w:r>
          </w:p>
        </w:tc>
      </w:tr>
      <w:tr>
        <w:tc>
          <w:tcPr>
            <w:gridSpan w:val="4"/>
          </w:tcPr>
          <w:p>
            <w:pPr>
              <w:pStyle w:val="Compact"/>
              <w:jc w:val="right"/>
            </w:pPr>
            <w:r>
              <w:t xml:space="preserve">Total Estimated Cost (excl. VAT):</w:t>
            </w:r>
          </w:p>
        </w:tc>
        <w:tc>
          <w:tcPr/>
          <w:p>
            <w:pPr>
              <w:pStyle w:val="Compact"/>
              <w:jc w:val="left"/>
            </w:pPr>
            <w:r>
              <w:t xml:space="preserve">₪ 97,840</w:t>
            </w:r>
          </w:p>
        </w:tc>
      </w:tr>
      <w:tr>
        <w:tc>
          <w:tcPr>
            <w:gridSpan w:val="4"/>
          </w:tcPr>
          <w:p>
            <w:pPr>
              <w:pStyle w:val="Compact"/>
              <w:jc w:val="right"/>
            </w:pPr>
            <w:r>
              <w:t xml:space="preserve">VAT (18%):</w:t>
            </w:r>
          </w:p>
        </w:tc>
        <w:tc>
          <w:tcPr/>
          <w:p>
            <w:pPr>
              <w:pStyle w:val="Compact"/>
              <w:jc w:val="left"/>
            </w:pPr>
            <w:r>
              <w:t xml:space="preserve">₪ 17,611</w:t>
            </w:r>
          </w:p>
        </w:tc>
      </w:tr>
      <w:tr>
        <w:tc>
          <w:tcPr>
            <w:gridSpan w:val="4"/>
          </w:tcPr>
          <w:p>
            <w:pPr>
              <w:pStyle w:val="Compact"/>
              <w:jc w:val="right"/>
            </w:pPr>
            <w:r>
              <w:t xml:space="preserve">Grand Total (incl. VAT):</w:t>
            </w:r>
          </w:p>
        </w:tc>
        <w:tc>
          <w:tcPr/>
          <w:p>
            <w:pPr>
              <w:pStyle w:val="Compact"/>
              <w:jc w:val="left"/>
            </w:pPr>
            <w:r>
              <w:t xml:space="preserve">₪ 115,451</w:t>
            </w:r>
          </w:p>
        </w:tc>
      </w:tr>
    </w:tbl>
    <w:p>
      <w:pPr>
        <w:pStyle w:val="BodyText"/>
      </w:pPr>
      <w:r>
        <w:t xml:space="preserve">* All rates reflect the standard Web Designer fee structure in Israel Tel Aviv for 2025. Third-party costs (domain registration, premium plugins, stock imagery, hosting beyond the first year) are excluded and will be billed at actual cost with prior client approval.</w:t>
      </w:r>
    </w:p>
    <w:bookmarkEnd w:id="25"/>
    <w:bookmarkStart w:id="26" w:name="project-timeline"/>
    <w:p>
      <w:pPr>
        <w:pStyle w:val="Heading2"/>
      </w:pPr>
      <w:r>
        <w:t xml:space="preserve">4.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Estimated Completion</w:t>
            </w:r>
          </w:p>
        </w:tc>
      </w:tr>
      <w:tr>
        <w:tc>
          <w:tcPr/>
          <w:p>
            <w:pPr>
              <w:pStyle w:val="Compact"/>
              <w:jc w:val="left"/>
            </w:pPr>
            <w:r>
              <w:t xml:space="preserve">Discovery &amp; Strategy</w:t>
            </w:r>
          </w:p>
        </w:tc>
        <w:tc>
          <w:tcPr/>
          <w:p>
            <w:pPr>
              <w:pStyle w:val="Compact"/>
              <w:jc w:val="left"/>
            </w:pPr>
            <w:r>
              <w:t xml:space="preserve">Week 1–2</w:t>
            </w:r>
          </w:p>
        </w:tc>
        <w:tc>
          <w:tcPr/>
          <w:p>
            <w:pPr>
              <w:pStyle w:val="Compact"/>
              <w:jc w:val="left"/>
            </w:pPr>
            <w:r>
              <w:t xml:space="preserve">28 June 2025</w:t>
            </w:r>
          </w:p>
        </w:tc>
      </w:tr>
      <w:tr>
        <w:tc>
          <w:tcPr/>
          <w:p>
            <w:pPr>
              <w:pStyle w:val="Compact"/>
              <w:jc w:val="left"/>
            </w:pPr>
            <w:r>
              <w:t xml:space="preserve">UI/UX Design &amp; Approval</w:t>
            </w:r>
          </w:p>
        </w:tc>
        <w:tc>
          <w:tcPr/>
          <w:p>
            <w:pPr>
              <w:pStyle w:val="Compact"/>
              <w:jc w:val="left"/>
            </w:pPr>
            <w:r>
              <w:t xml:space="preserve">Week 3–5</w:t>
            </w:r>
          </w:p>
        </w:tc>
        <w:tc>
          <w:tcPr/>
          <w:p>
            <w:pPr>
              <w:pStyle w:val="Compact"/>
              <w:jc w:val="left"/>
            </w:pPr>
            <w:r>
              <w:t xml:space="preserve">19 July 2025</w:t>
            </w:r>
          </w:p>
        </w:tc>
      </w:tr>
      <w:tr>
        <w:tc>
          <w:tcPr/>
          <w:p>
            <w:pPr>
              <w:pStyle w:val="Compact"/>
              <w:jc w:val="left"/>
            </w:pPr>
            <w:r>
              <w:t xml:space="preserve">Development &amp; Integration</w:t>
            </w:r>
          </w:p>
        </w:tc>
        <w:tc>
          <w:tcPr/>
          <w:p>
            <w:pPr>
              <w:pStyle w:val="Compact"/>
              <w:jc w:val="left"/>
            </w:pPr>
            <w:r>
              <w:t xml:space="preserve">Week 6–10</w:t>
            </w:r>
          </w:p>
        </w:tc>
        <w:tc>
          <w:tcPr/>
          <w:p>
            <w:pPr>
              <w:pStyle w:val="Compact"/>
              <w:jc w:val="left"/>
            </w:pPr>
            <w:r>
              <w:t xml:space="preserve">21 August 2025</w:t>
            </w:r>
          </w:p>
        </w:tc>
      </w:tr>
      <w:tr>
        <w:tc>
          <w:tcPr/>
          <w:p>
            <w:pPr>
              <w:pStyle w:val="Compact"/>
              <w:jc w:val="left"/>
            </w:pPr>
            <w:r>
              <w:t xml:space="preserve">Testing, SEO &amp; Optimization</w:t>
            </w:r>
          </w:p>
        </w:tc>
        <w:tc>
          <w:tcPr/>
          <w:p>
            <w:pPr>
              <w:pStyle w:val="Compact"/>
              <w:jc w:val="left"/>
            </w:pPr>
            <w:r>
              <w:t xml:space="preserve">Week 11–12</w:t>
            </w:r>
          </w:p>
        </w:tc>
        <w:tc>
          <w:tcPr/>
          <w:p>
            <w:pPr>
              <w:pStyle w:val="Compact"/>
              <w:jc w:val="left"/>
            </w:pPr>
            <w:r>
              <w:t xml:space="preserve">4 September 2025</w:t>
            </w:r>
          </w:p>
        </w:tc>
      </w:tr>
      <w:tr>
        <w:tc>
          <w:tcPr/>
          <w:p>
            <w:pPr>
              <w:pStyle w:val="Compact"/>
              <w:jc w:val="left"/>
            </w:pPr>
            <w:r>
              <w:t xml:space="preserve">Deployment &amp; Training</w:t>
            </w:r>
          </w:p>
        </w:tc>
        <w:tc>
          <w:tcPr/>
          <w:p>
            <w:pPr>
              <w:pStyle w:val="Compact"/>
              <w:jc w:val="left"/>
            </w:pPr>
            <w:r>
              <w:t xml:space="preserve">Week 13</w:t>
            </w:r>
          </w:p>
        </w:tc>
        <w:tc>
          <w:tcPr/>
          <w:p>
            <w:pPr>
              <w:pStyle w:val="Compact"/>
              <w:jc w:val="left"/>
            </w:pPr>
            <w:r>
              <w:t xml:space="preserve">11 September 2025</w:t>
            </w:r>
          </w:p>
        </w:tc>
      </w:tr>
    </w:tbl>
    <w:bookmarkEnd w:id="26"/>
    <w:bookmarkStart w:id="27" w:name="payment-schedule"/>
    <w:p>
      <w:pPr>
        <w:pStyle w:val="Heading2"/>
      </w:pPr>
      <w:r>
        <w:t xml:space="preserve">5. Payment Schedule</w:t>
      </w:r>
    </w:p>
    <w:p>
      <w:pPr>
        <w:numPr>
          <w:ilvl w:val="0"/>
          <w:numId w:val="1002"/>
        </w:numPr>
        <w:pStyle w:val="Compact"/>
      </w:pPr>
      <w:r>
        <w:rPr>
          <w:bCs/>
          <w:b/>
        </w:rPr>
        <w:t xml:space="preserve">30% Advance Payment (₪ 34,635):</w:t>
      </w:r>
      <w:r>
        <w:t xml:space="preserve"> </w:t>
      </w:r>
      <w:r>
        <w:t xml:space="preserve">Due upon signed acceptance of this Quotation Estimate, prior to project commencement.</w:t>
      </w:r>
    </w:p>
    <w:p>
      <w:pPr>
        <w:numPr>
          <w:ilvl w:val="0"/>
          <w:numId w:val="1002"/>
        </w:numPr>
        <w:pStyle w:val="Compact"/>
      </w:pPr>
      <w:r>
        <w:rPr>
          <w:bCs/>
          <w:b/>
        </w:rPr>
        <w:t xml:space="preserve">40% Milestone Payment (₪ 46,180):</w:t>
      </w:r>
      <w:r>
        <w:t xml:space="preserve"> </w:t>
      </w:r>
      <w:r>
        <w:t xml:space="preserve">Due upon client approval of the final UI/UX design deliverables.</w:t>
      </w:r>
    </w:p>
    <w:p>
      <w:pPr>
        <w:numPr>
          <w:ilvl w:val="0"/>
          <w:numId w:val="1002"/>
        </w:numPr>
        <w:pStyle w:val="Compact"/>
      </w:pPr>
      <w:r>
        <w:rPr>
          <w:bCs/>
          <w:b/>
        </w:rPr>
        <w:t xml:space="preserve">30% Final Payment (₪ 34,636):</w:t>
      </w:r>
      <w:r>
        <w:t xml:space="preserve"> </w:t>
      </w:r>
      <w:r>
        <w:t xml:space="preserve">Due upon successful deployment and completion of the training session.</w:t>
      </w:r>
    </w:p>
    <w:p>
      <w:pPr>
        <w:pStyle w:val="FirstParagraph"/>
      </w:pPr>
      <w:r>
        <w:t xml:space="preserve">Payments shall be made via bank transfer to the account of PixelCraft Digital Studio, Israel Tel Aviv. Invoices will be issued in accordance with Israeli tax regulations. Late payments will incur a monthly interest charge of 1.5% as stipulated under Israeli commercial law.</w:t>
      </w:r>
    </w:p>
    <w:bookmarkEnd w:id="27"/>
    <w:bookmarkStart w:id="28" w:name="terms-conditions"/>
    <w:p>
      <w:pPr>
        <w:pStyle w:val="Heading2"/>
      </w:pPr>
      <w:r>
        <w:t xml:space="preserve">6. Terms &amp; Conditions</w:t>
      </w:r>
    </w:p>
    <w:p>
      <w:pPr>
        <w:numPr>
          <w:ilvl w:val="0"/>
          <w:numId w:val="1003"/>
        </w:numPr>
        <w:pStyle w:val="Compact"/>
      </w:pPr>
      <w:r>
        <w:t xml:space="preserve">This Quotation Estimate is valid for 30 calendar days from the date of issue. After the validity period, pricing may be revised to reflect current Web Designer market rates in Israel Tel Aviv.</w:t>
      </w:r>
    </w:p>
    <w:p>
      <w:pPr>
        <w:numPr>
          <w:ilvl w:val="0"/>
          <w:numId w:val="1003"/>
        </w:numPr>
        <w:pStyle w:val="Compact"/>
      </w:pPr>
      <w:r>
        <w:t xml:space="preserve">All intellectual property rights to the final website design and source code shall transfer to the client upon receipt of the final payment in full.</w:t>
      </w:r>
    </w:p>
    <w:p>
      <w:pPr>
        <w:numPr>
          <w:ilvl w:val="0"/>
          <w:numId w:val="1003"/>
        </w:numPr>
        <w:pStyle w:val="Compact"/>
      </w:pPr>
      <w:r>
        <w:t xml:space="preserve">The client agrees to provide all necessary content, branding assets, and access credentials within five (5) business days of each phase commencement to avoid timeline delays.</w:t>
      </w:r>
    </w:p>
    <w:p>
      <w:pPr>
        <w:numPr>
          <w:ilvl w:val="0"/>
          <w:numId w:val="1003"/>
        </w:numPr>
        <w:pStyle w:val="Compact"/>
      </w:pPr>
      <w:r>
        <w:t xml:space="preserve">A maximum of two (2) rounds of design revisions are included per phase. Additional revisions will be billed at the applicable hourly rate stated in Section 3.</w:t>
      </w:r>
    </w:p>
    <w:p>
      <w:pPr>
        <w:numPr>
          <w:ilvl w:val="0"/>
          <w:numId w:val="1003"/>
        </w:numPr>
        <w:pStyle w:val="Compact"/>
      </w:pPr>
      <w:r>
        <w:t xml:space="preserve">This Quotation Estimate is governed by the laws of the State of Israel. Any disputes shall be subject to the exclusive jurisdiction of the courts in Tel Aviv-Yafo, Israel.</w:t>
      </w:r>
    </w:p>
    <w:p>
      <w:pPr>
        <w:numPr>
          <w:ilvl w:val="0"/>
          <w:numId w:val="1003"/>
        </w:numPr>
        <w:pStyle w:val="Compact"/>
      </w:pPr>
      <w:r>
        <w:t xml:space="preserve">PixelCraft Digital Studio reserves the right to decline or modify this Quotation Estimate if the scope of work is materially altered after the initial agreement without a formal change order.</w:t>
      </w:r>
    </w:p>
    <w:bookmarkEnd w:id="28"/>
    <w:bookmarkStart w:id="29" w:name="acceptance-authorization"/>
    <w:p>
      <w:pPr>
        <w:pStyle w:val="Heading2"/>
      </w:pPr>
      <w:r>
        <w:t xml:space="preserve">7. Acceptance &amp; Authorization</w:t>
      </w:r>
    </w:p>
    <w:p>
      <w:pPr>
        <w:pStyle w:val="FirstParagraph"/>
      </w:pPr>
      <w:r>
        <w:t xml:space="preserve">By signing below, both parties acknowledge and agree to the terms, scope, and pricing outlined in this Quotation Estimate for Web Designer services to be performed in Israel Tel Aviv. This document constitutes a binding agreement upon execution by both signatories.</w:t>
      </w:r>
    </w:p>
    <w:p>
      <w:pPr>
        <w:pStyle w:val="BodyText"/>
      </w:pPr>
      <w:r>
        <w:rPr>
          <w:bCs/>
          <w:b/>
        </w:rPr>
        <w:t xml:space="preserve">For PixelCraft Digital Studio (Web Designer)</w:t>
      </w:r>
    </w:p>
    <w:p>
      <w:pPr>
        <w:pStyle w:val="BodyText"/>
      </w:pPr>
      <w:r>
        <w:t xml:space="preserve">Name: _________________________</w:t>
      </w:r>
      <w:r>
        <w:br/>
      </w:r>
      <w:r>
        <w:t xml:space="preserve">Title: Lead Web Designer</w:t>
      </w:r>
      <w:r>
        <w:br/>
      </w:r>
      <w:r>
        <w:t xml:space="preserve">Signature &amp; Date: _________________________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Signature &amp; Date: _________________________</w:t>
      </w:r>
    </w:p>
    <w:bookmarkEnd w:id="29"/>
    <w:p>
      <w:pPr>
        <w:pStyle w:val="BodyText"/>
      </w:pPr>
      <w:r>
        <w:t xml:space="preserve">Quotation Estimate QE-2025-TLV-0347 | PixelCraft Digital Studio | Israel Tel Aviv | Page 1 of 1</w:t>
      </w:r>
    </w:p>
    <w:p>
      <w:pPr>
        <w:pStyle w:val="BodyText"/>
      </w:pPr>
      <w:r>
        <w:t xml:space="preserve">This document was generated on 15 June 2025. For inquiries regarding this Quotation Estimate, please contact quotes@pixelcraft-il.com or call +972-3-555-0142.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Israel Tel Aviv</dc:title>
  <dc:creator/>
  <dc:language>en</dc:language>
  <cp:keywords/>
  <dcterms:created xsi:type="dcterms:W3CDTF">2026-10-10T04:04:18Z</dcterms:created>
  <dcterms:modified xsi:type="dcterms:W3CDTF">2026-10-10T04:04:18Z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