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Netherlands</w:t>
      </w:r>
      <w:r>
        <w:t xml:space="preserve"> </w:t>
      </w:r>
      <w:r>
        <w:t xml:space="preserve">Amsterdam</w:t>
      </w:r>
    </w:p>
    <w:p>
      <w:pPr>
        <w:pStyle w:val="FirstParagraph"/>
      </w:pPr>
      <w:r>
        <w:t xml:space="preserve">Quotation Estimate</w:t>
      </w:r>
    </w:p>
    <w:bookmarkStart w:id="20" w:name="X6d7921af51411594ba39ab5b7bc086f3899b0e0"/>
    <w:p>
      <w:pPr>
        <w:pStyle w:val="Heading1"/>
      </w:pPr>
      <w:r>
        <w:t xml:space="preserve">Quotation Estimate for Professional Web Designer Services</w:t>
      </w:r>
    </w:p>
    <w:p>
      <w:pPr>
        <w:pStyle w:val="FirstParagraph"/>
      </w:pPr>
      <w:r>
        <w:t xml:space="preserve">Comprehensive Digital Design &amp; Development Proposal — Netherlands Amsterdam</w:t>
      </w:r>
    </w:p>
    <w:bookmarkEnd w:id="20"/>
    <w:p>
      <w:pPr>
        <w:pStyle w:val="BodyText"/>
      </w:pPr>
      <w:r>
        <w:rPr>
          <w:bCs/>
          <w:b/>
        </w:rPr>
        <w:t xml:space="preserve">Quotation Reference:</w:t>
      </w:r>
      <w:r>
        <w:t xml:space="preserve"> </w:t>
      </w:r>
      <w:r>
        <w:t xml:space="preserve">QTE-AMS-2025-0472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Prepared By:</w:t>
      </w:r>
      <w:r>
        <w:t xml:space="preserve"> </w:t>
      </w:r>
      <w:r>
        <w:t xml:space="preserve">Studio Pixel &amp; Code B.V.</w:t>
      </w:r>
      <w:r>
        <w:br/>
      </w:r>
      <w:r>
        <w:rPr>
          <w:bCs/>
          <w:b/>
        </w:rPr>
        <w:t xml:space="preserve">Address:</w:t>
      </w:r>
      <w:r>
        <w:t xml:space="preserve"> </w:t>
      </w:r>
      <w:r>
        <w:t xml:space="preserve">Herengracht 412, 1017 BX</w:t>
      </w:r>
      <w:r>
        <w:br/>
      </w:r>
      <w:r>
        <w:rPr>
          <w:bCs/>
          <w:b/>
        </w:rPr>
        <w:t xml:space="preserve">Netherlands Amsterdam</w:t>
      </w:r>
      <w:r>
        <w:br/>
      </w:r>
      <w:r>
        <w:rPr>
          <w:bCs/>
          <w:b/>
        </w:rPr>
        <w:t xml:space="preserve">KvK:</w:t>
      </w:r>
      <w:r>
        <w:t xml:space="preserve"> </w:t>
      </w:r>
      <w:r>
        <w:t xml:space="preserve">87654321  | </w:t>
      </w:r>
      <w:r>
        <w:t xml:space="preserve"> </w:t>
      </w:r>
      <w:r>
        <w:rPr>
          <w:bCs/>
          <w:b/>
        </w:rPr>
        <w:t xml:space="preserve">BTW:</w:t>
      </w:r>
      <w:r>
        <w:t xml:space="preserve"> </w:t>
      </w:r>
      <w:r>
        <w:t xml:space="preserve">NL861234567B01</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Van der Berg &amp; Partners Consultancy B.V.</w:t>
            </w:r>
          </w:p>
        </w:tc>
      </w:tr>
      <w:tr>
        <w:tc>
          <w:tcPr/>
          <w:p>
            <w:pPr>
              <w:pStyle w:val="Compact"/>
              <w:jc w:val="left"/>
            </w:pPr>
            <w:r>
              <w:t xml:space="preserve">Contact Person</w:t>
            </w:r>
          </w:p>
        </w:tc>
        <w:tc>
          <w:tcPr/>
          <w:p>
            <w:pPr>
              <w:pStyle w:val="Compact"/>
              <w:jc w:val="left"/>
            </w:pPr>
            <w:r>
              <w:t xml:space="preserve">Mr. Jeroen van der Berg, Managing Director</w:t>
            </w:r>
          </w:p>
        </w:tc>
      </w:tr>
      <w:tr>
        <w:tc>
          <w:tcPr/>
          <w:p>
            <w:pPr>
              <w:pStyle w:val="Compact"/>
              <w:jc w:val="left"/>
            </w:pPr>
            <w:r>
              <w:t xml:space="preserve">Address</w:t>
            </w:r>
          </w:p>
        </w:tc>
        <w:tc>
          <w:tcPr/>
          <w:p>
            <w:pPr>
              <w:pStyle w:val="Compact"/>
              <w:jc w:val="left"/>
            </w:pPr>
            <w:r>
              <w:t xml:space="preserve">Keizersgracht 88, 1015 CJ, Netherlands Amsterdam</w:t>
            </w:r>
          </w:p>
        </w:tc>
      </w:tr>
      <w:tr>
        <w:tc>
          <w:tcPr/>
          <w:p>
            <w:pPr>
              <w:pStyle w:val="Compact"/>
              <w:jc w:val="left"/>
            </w:pPr>
            <w:r>
              <w:t xml:space="preserve">Email</w:t>
            </w:r>
          </w:p>
        </w:tc>
        <w:tc>
          <w:tcPr/>
          <w:p>
            <w:pPr>
              <w:pStyle w:val="Compact"/>
              <w:jc w:val="left"/>
            </w:pPr>
            <w:r>
              <w:t xml:space="preserve">j.vanderberg@vdbergholding.nl</w:t>
            </w:r>
          </w:p>
        </w:tc>
      </w:tr>
      <w:tr>
        <w:tc>
          <w:tcPr/>
          <w:p>
            <w:pPr>
              <w:pStyle w:val="Compact"/>
              <w:jc w:val="left"/>
            </w:pPr>
            <w:r>
              <w:t xml:space="preserve">Phone</w:t>
            </w:r>
          </w:p>
        </w:tc>
        <w:tc>
          <w:tcPr/>
          <w:p>
            <w:pPr>
              <w:pStyle w:val="Compact"/>
              <w:jc w:val="left"/>
            </w:pPr>
            <w:r>
              <w:t xml:space="preserve">+31 (0)20 555 0142</w:t>
            </w:r>
          </w:p>
        </w:tc>
      </w:tr>
    </w:tbl>
    <w:bookmarkEnd w:id="21"/>
    <w:bookmarkStart w:id="22" w:name="scope-of-work-web-designer-engagement"/>
    <w:p>
      <w:pPr>
        <w:pStyle w:val="Heading2"/>
      </w:pPr>
      <w:r>
        <w:t xml:space="preserve">2. Scope of Work — Web Designer Engagement</w:t>
      </w:r>
    </w:p>
    <w:p>
      <w:pPr>
        <w:pStyle w:val="FirstParagraph"/>
      </w:pPr>
      <w:r>
        <w:t xml:space="preserve">This</w:t>
      </w:r>
      <w:r>
        <w:t xml:space="preserve"> </w:t>
      </w:r>
      <w:r>
        <w:t xml:space="preserve">Quotation Estimate</w:t>
      </w:r>
      <w:r>
        <w:t xml:space="preserve"> </w:t>
      </w:r>
      <w:r>
        <w:t xml:space="preserve">is issued by Studio Pixel &amp; Code B.V., a registered digital agency operating in</w:t>
      </w:r>
      <w:r>
        <w:t xml:space="preserve"> </w:t>
      </w:r>
      <w:r>
        <w:t xml:space="preserve">Netherlands Amsterdam</w:t>
      </w:r>
      <w:r>
        <w:t xml:space="preserve">, in response to the formal request submitted by Van der Berg &amp; Partners Consultancy B.V. The engagement centres on the full-spectrum services of a senior</w:t>
      </w:r>
      <w:r>
        <w:t xml:space="preserve"> </w:t>
      </w:r>
      <w:r>
        <w:t xml:space="preserve">Web Designer</w:t>
      </w:r>
      <w:r>
        <w:t xml:space="preserve"> </w:t>
      </w:r>
      <w:r>
        <w:t xml:space="preserve">to conceptualise, design, and deliver a modern, responsive corporate website that reflects the client’s brand identity and meets the highest standards of user experience expected in the competitive Amsterdam business landscape.</w:t>
      </w:r>
    </w:p>
    <w:p>
      <w:pPr>
        <w:pStyle w:val="BodyText"/>
      </w:pPr>
      <w:r>
        <w:t xml:space="preserve">The</w:t>
      </w:r>
      <w:r>
        <w:t xml:space="preserve"> </w:t>
      </w:r>
      <w:r>
        <w:t xml:space="preserve">Web Designer</w:t>
      </w:r>
      <w:r>
        <w:t xml:space="preserve"> </w:t>
      </w:r>
      <w:r>
        <w:t xml:space="preserve">assigned to this project will operate from our studio in the heart of</w:t>
      </w:r>
      <w:r>
        <w:t xml:space="preserve"> </w:t>
      </w:r>
      <w:r>
        <w:t xml:space="preserve">Netherlands Amsterdam</w:t>
      </w:r>
      <w:r>
        <w:t xml:space="preserve">, ensuring proximity for in-person workshops, stakeholder reviews, and iterative feedback sessions. All design deliverables will comply with Dutch accessibility standards (Wegens de Toegankelijkheidswet) and European GDPR requirements for data handling.</w:t>
      </w:r>
    </w:p>
    <w:bookmarkEnd w:id="22"/>
    <w:bookmarkStart w:id="23" w:name="detailed-service-breakdown-pricing"/>
    <w:p>
      <w:pPr>
        <w:pStyle w:val="Heading2"/>
      </w:pPr>
      <w:r>
        <w:t xml:space="preserve">3. Detailed Service Breakdown &amp;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Item</w:t>
            </w:r>
          </w:p>
        </w:tc>
        <w:tc>
          <w:tcPr/>
          <w:p>
            <w:pPr>
              <w:pStyle w:val="Compact"/>
              <w:jc w:val="left"/>
            </w:pPr>
            <w:r>
              <w:t xml:space="preserve">Duration / Qty</w:t>
            </w:r>
          </w:p>
        </w:tc>
        <w:tc>
          <w:tcPr/>
          <w:p>
            <w:pPr>
              <w:pStyle w:val="Compact"/>
              <w:jc w:val="left"/>
            </w:pPr>
            <w:r>
              <w:t xml:space="preserve">Rate (EUR)</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Discovery Workshop &amp; Brand Audit — The Web Designer conducts a half-day on-site session in Netherlands Amsterdam to analyse current digital presence, competitor landscape, and client objectives.</w:t>
            </w:r>
          </w:p>
        </w:tc>
        <w:tc>
          <w:tcPr/>
          <w:p>
            <w:pPr>
              <w:pStyle w:val="Compact"/>
              <w:jc w:val="left"/>
            </w:pPr>
            <w:r>
              <w:t xml:space="preserve">1 session (4 hrs)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t xml:space="preserve">Information Architecture &amp; Wireframing — Sitemap creation, user-flow diagrams, and low-fidelity wireframes for all primary pages (minimum 12 pages).</w:t>
            </w:r>
          </w:p>
        </w:tc>
        <w:tc>
          <w:tcPr/>
          <w:p>
            <w:pPr>
              <w:pStyle w:val="Compact"/>
              <w:jc w:val="left"/>
            </w:pPr>
            <w:r>
              <w:t xml:space="preserve">2 weeks</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3</w:t>
            </w:r>
          </w:p>
        </w:tc>
        <w:tc>
          <w:tcPr/>
          <w:p>
            <w:pPr>
              <w:pStyle w:val="Compact"/>
              <w:jc w:val="left"/>
            </w:pPr>
            <w:r>
              <w:t xml:space="preserve">UI/UX Visual Design — High-fidelity mockups, colour palette, typography system, iconography, and interactive prototypes delivered in Figma. The Web Designer provides two full revision cycles.</w:t>
            </w:r>
          </w:p>
        </w:tc>
        <w:tc>
          <w:tcPr/>
          <w:p>
            <w:pPr>
              <w:pStyle w:val="Compact"/>
              <w:jc w:val="left"/>
            </w:pPr>
            <w:r>
              <w:t xml:space="preserve">3 weeks</w:t>
            </w:r>
          </w:p>
        </w:tc>
        <w:tc>
          <w:tcPr/>
          <w:p>
            <w:pPr>
              <w:pStyle w:val="Compact"/>
              <w:jc w:val="left"/>
            </w:pPr>
            <w:r>
              <w:t xml:space="preserve">€5,400.00</w:t>
            </w:r>
          </w:p>
        </w:tc>
        <w:tc>
          <w:tcPr/>
          <w:p>
            <w:pPr>
              <w:pStyle w:val="Compact"/>
              <w:jc w:val="left"/>
            </w:pPr>
            <w:r>
              <w:t xml:space="preserve">€5,400.00</w:t>
            </w:r>
          </w:p>
        </w:tc>
      </w:tr>
      <w:tr>
        <w:tc>
          <w:tcPr/>
          <w:p>
            <w:pPr>
              <w:pStyle w:val="Compact"/>
              <w:jc w:val="left"/>
            </w:pPr>
            <w:r>
              <w:t xml:space="preserve">4</w:t>
            </w:r>
          </w:p>
        </w:tc>
        <w:tc>
          <w:tcPr/>
          <w:p>
            <w:pPr>
              <w:pStyle w:val="Compact"/>
              <w:jc w:val="left"/>
            </w:pPr>
            <w:r>
              <w:t xml:space="preserve">Responsive Web Development — Front-end coding (HTML5, CSS3, JavaScript/React), CMS integration (WordPress or headless), and cross-browser compatibility testing.</w:t>
            </w:r>
          </w:p>
        </w:tc>
        <w:tc>
          <w:tcPr/>
          <w:p>
            <w:pPr>
              <w:pStyle w:val="Compact"/>
              <w:jc w:val="left"/>
            </w:pPr>
            <w:r>
              <w:t xml:space="preserve">4 weeks</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5</w:t>
            </w:r>
          </w:p>
        </w:tc>
        <w:tc>
          <w:tcPr/>
          <w:p>
            <w:pPr>
              <w:pStyle w:val="Compact"/>
              <w:jc w:val="left"/>
            </w:pPr>
            <w:r>
              <w:t xml:space="preserve">Content Management &amp; SEO Foundation — On-page SEO optimisation, meta-structuring, image optimisation, and basic Dutch/English bilingual content setup.</w:t>
            </w:r>
          </w:p>
        </w:tc>
        <w:tc>
          <w:tcPr/>
          <w:p>
            <w:pPr>
              <w:pStyle w:val="Compact"/>
              <w:jc w:val="left"/>
            </w:pPr>
            <w:r>
              <w:t xml:space="preserve">1 week</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Quality Assurance, Accessibility Audit &amp; Deployment — WCAG 2.1 AA compliance check, performance scoring (Lighthouse ≥ 90), staging review, and production launch.</w:t>
            </w:r>
          </w:p>
        </w:tc>
        <w:tc>
          <w:tcPr/>
          <w:p>
            <w:pPr>
              <w:pStyle w:val="Compact"/>
              <w:jc w:val="left"/>
            </w:pPr>
            <w:r>
              <w:t xml:space="preserve">1 week</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Post-Launch Support &amp; Training — 30-day warranty period, CMS training session (2 hrs) for client staff in Netherlands Amsterdam, and minor bug fixes.</w:t>
            </w:r>
          </w:p>
        </w:tc>
        <w:tc>
          <w:tcPr/>
          <w:p>
            <w:pPr>
              <w:pStyle w:val="Compact"/>
              <w:jc w:val="left"/>
            </w:pPr>
            <w:r>
              <w:t xml:space="preserve">1 month</w:t>
            </w:r>
          </w:p>
        </w:tc>
        <w:tc>
          <w:tcPr/>
          <w:p>
            <w:pPr>
              <w:pStyle w:val="Compact"/>
              <w:jc w:val="left"/>
            </w:pPr>
            <w:r>
              <w:t xml:space="preserve">€950.00</w:t>
            </w:r>
          </w:p>
        </w:tc>
        <w:tc>
          <w:tcPr/>
          <w:p>
            <w:pPr>
              <w:pStyle w:val="Compact"/>
              <w:jc w:val="left"/>
            </w:pPr>
            <w:r>
              <w:t xml:space="preserve">€950.00</w:t>
            </w:r>
          </w:p>
        </w:tc>
      </w:tr>
      <w:tr>
        <w:tc>
          <w:tcPr>
            <w:gridSpan w:val="4"/>
          </w:tcPr>
          <w:p>
            <w:pPr>
              <w:pStyle w:val="Compact"/>
              <w:jc w:val="right"/>
            </w:pPr>
            <w:r>
              <w:t xml:space="preserve">Subtotal (excl. BTW)</w:t>
            </w:r>
          </w:p>
        </w:tc>
        <w:tc>
          <w:tcPr/>
          <w:p>
            <w:pPr>
              <w:pStyle w:val="Compact"/>
              <w:jc w:val="left"/>
            </w:pPr>
            <w:r>
              <w:t xml:space="preserve">€20,850.00</w:t>
            </w:r>
          </w:p>
        </w:tc>
      </w:tr>
      <w:tr>
        <w:tc>
          <w:tcPr>
            <w:gridSpan w:val="4"/>
          </w:tcPr>
          <w:p>
            <w:pPr>
              <w:pStyle w:val="Compact"/>
              <w:jc w:val="right"/>
            </w:pPr>
            <w:r>
              <w:t xml:space="preserve">BTW (21% Dutch VAT)</w:t>
            </w:r>
          </w:p>
        </w:tc>
        <w:tc>
          <w:tcPr/>
          <w:p>
            <w:pPr>
              <w:pStyle w:val="Compact"/>
              <w:jc w:val="left"/>
            </w:pPr>
            <w:r>
              <w:t xml:space="preserve">€4,378.50</w:t>
            </w:r>
          </w:p>
        </w:tc>
      </w:tr>
      <w:tr>
        <w:tc>
          <w:tcPr>
            <w:gridSpan w:val="4"/>
          </w:tcPr>
          <w:p>
            <w:pPr>
              <w:pStyle w:val="Compact"/>
              <w:jc w:val="right"/>
            </w:pPr>
            <w:r>
              <w:t xml:space="preserve">Total Amount Due</w:t>
            </w:r>
          </w:p>
        </w:tc>
        <w:tc>
          <w:tcPr/>
          <w:p>
            <w:pPr>
              <w:pStyle w:val="Compact"/>
              <w:jc w:val="left"/>
            </w:pPr>
            <w:r>
              <w:t xml:space="preserve">€25,228.50</w:t>
            </w:r>
          </w:p>
        </w:tc>
      </w:tr>
    </w:tbl>
    <w:bookmarkEnd w:id="23"/>
    <w:bookmarkStart w:id="24" w:name="payment-terms"/>
    <w:p>
      <w:pPr>
        <w:pStyle w:val="Heading2"/>
      </w:pPr>
      <w:r>
        <w:t xml:space="preserve">4. Payment Terms</w:t>
      </w:r>
    </w:p>
    <w:p>
      <w:pPr>
        <w:pStyle w:val="FirstParagraph"/>
      </w:pPr>
      <w:r>
        <w:t xml:space="preserve">Payment shall be structured as follows: 30% advance payment upon acceptance of this Quotation Estimate, 40% upon approval of the final visual design by the Web Designer’s client review, and 30% upon successful production deployment. All invoices are payable within 14 calendar days via bank transfer to the studio’s account at ING Bank N.V., Netherlands Amsterdam. Late payments are subject to a statutory interest rate of 8% per annum in accordance with Dutch commercial law (Burgerlijk Wetboek, Book 6).</w:t>
      </w:r>
    </w:p>
    <w:bookmarkEnd w:id="24"/>
    <w:bookmarkStart w:id="25" w:name="terms-conditions"/>
    <w:p>
      <w:pPr>
        <w:pStyle w:val="Heading2"/>
      </w:pPr>
      <w:r>
        <w:t xml:space="preserve">5. Terms &amp; Conditions</w:t>
      </w:r>
    </w:p>
    <w:p>
      <w:pPr>
        <w:numPr>
          <w:ilvl w:val="0"/>
          <w:numId w:val="1001"/>
        </w:numPr>
        <w:pStyle w:val="Compact"/>
      </w:pPr>
      <w:r>
        <w:t xml:space="preserve">This Quotation Estimate is valid for 30 calendar days from the date of issue. After expiry, pricing may be revised to reflect current market rates in the Netherlands Amsterdam digital services sector.</w:t>
      </w:r>
    </w:p>
    <w:p>
      <w:pPr>
        <w:numPr>
          <w:ilvl w:val="0"/>
          <w:numId w:val="1001"/>
        </w:numPr>
        <w:pStyle w:val="Compact"/>
      </w:pPr>
      <w:r>
        <w:t xml:space="preserve">All intellectual property rights to the final deliverables transfer to the client upon full payment. The Web Designer retains the right to display the completed project in their professional portfolio unless otherwise agreed in writing.</w:t>
      </w:r>
    </w:p>
    <w:p>
      <w:pPr>
        <w:numPr>
          <w:ilvl w:val="0"/>
          <w:numId w:val="1001"/>
        </w:numPr>
        <w:pStyle w:val="Compact"/>
      </w:pPr>
      <w:r>
        <w:t xml:space="preserve">Any scope changes beyond the agreed deliverables will be subject to a separate change-order Quotation Estimate, signed by both parties before additional work commences.</w:t>
      </w:r>
    </w:p>
    <w:p>
      <w:pPr>
        <w:numPr>
          <w:ilvl w:val="0"/>
          <w:numId w:val="1001"/>
        </w:numPr>
        <w:pStyle w:val="Compact"/>
      </w:pPr>
      <w:r>
        <w:t xml:space="preserve">The Web Designer commits to a maximum of two revision cycles per design phase. Additional revisions will be billed at a rate of €150.00 per hour.</w:t>
      </w:r>
    </w:p>
    <w:p>
      <w:pPr>
        <w:numPr>
          <w:ilvl w:val="0"/>
          <w:numId w:val="1001"/>
        </w:numPr>
        <w:pStyle w:val="Compact"/>
      </w:pPr>
      <w:r>
        <w:t xml:space="preserve">Confidentiality: All client data, brand assets, and business information shared during the engagement in Netherlands Amsterdam are protected under a mutual Non-Disclosure Agreement (NDA) executed prior to project commencement.</w:t>
      </w:r>
    </w:p>
    <w:p>
      <w:pPr>
        <w:numPr>
          <w:ilvl w:val="0"/>
          <w:numId w:val="1001"/>
        </w:numPr>
        <w:pStyle w:val="Compact"/>
      </w:pPr>
      <w:r>
        <w:t xml:space="preserve">Governing Law: This agreement is governed by the laws of the Netherlands. Any disputes shall be resolved by the competent court in Amsterdam, Netherlands.</w:t>
      </w:r>
    </w:p>
    <w:p>
      <w:pPr>
        <w:numPr>
          <w:ilvl w:val="0"/>
          <w:numId w:val="1001"/>
        </w:numPr>
        <w:pStyle w:val="Compact"/>
      </w:pPr>
      <w:r>
        <w:t xml:space="preserve">The Web Designer shall carry professional liability insurance (AVB) with a minimum coverage of €1,000,000, valid throughout the project duration.</w:t>
      </w:r>
    </w:p>
    <w:bookmarkEnd w:id="25"/>
    <w:bookmarkStart w:id="26" w:name="project-timeline-summary"/>
    <w:p>
      <w:pPr>
        <w:pStyle w:val="Heading2"/>
      </w:pPr>
      <w:r>
        <w:t xml:space="preserve">6. Project Timeline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Milestone</w:t>
            </w:r>
          </w:p>
        </w:tc>
        <w:tc>
          <w:tcPr/>
          <w:p>
            <w:pPr>
              <w:pStyle w:val="Compact"/>
              <w:jc w:val="left"/>
            </w:pPr>
            <w:r>
              <w:t xml:space="preserve">Target Completion</w:t>
            </w:r>
          </w:p>
        </w:tc>
      </w:tr>
      <w:tr>
        <w:tc>
          <w:tcPr/>
          <w:p>
            <w:pPr>
              <w:pStyle w:val="Compact"/>
              <w:jc w:val="left"/>
            </w:pPr>
            <w:r>
              <w:t xml:space="preserve">Discovery &amp; Brand Audit</w:t>
            </w:r>
          </w:p>
        </w:tc>
        <w:tc>
          <w:tcPr/>
          <w:p>
            <w:pPr>
              <w:pStyle w:val="Compact"/>
              <w:jc w:val="left"/>
            </w:pPr>
            <w:r>
              <w:t xml:space="preserve">Week 1</w:t>
            </w:r>
          </w:p>
        </w:tc>
      </w:tr>
      <w:tr>
        <w:tc>
          <w:tcPr/>
          <w:p>
            <w:pPr>
              <w:pStyle w:val="Compact"/>
              <w:jc w:val="left"/>
            </w:pPr>
            <w:r>
              <w:t xml:space="preserve">Wireframes &amp; Information Architecture</w:t>
            </w:r>
          </w:p>
        </w:tc>
        <w:tc>
          <w:tcPr/>
          <w:p>
            <w:pPr>
              <w:pStyle w:val="Compact"/>
              <w:jc w:val="left"/>
            </w:pPr>
            <w:r>
              <w:t xml:space="preserve">Week 3</w:t>
            </w:r>
          </w:p>
        </w:tc>
      </w:tr>
      <w:tr>
        <w:tc>
          <w:tcPr/>
          <w:p>
            <w:pPr>
              <w:pStyle w:val="Compact"/>
              <w:jc w:val="left"/>
            </w:pPr>
            <w:r>
              <w:t xml:space="preserve">Visual Design &amp; Prototypes</w:t>
            </w:r>
          </w:p>
        </w:tc>
        <w:tc>
          <w:tcPr/>
          <w:p>
            <w:pPr>
              <w:pStyle w:val="Compact"/>
              <w:jc w:val="left"/>
            </w:pPr>
            <w:r>
              <w:t xml:space="preserve">Week 6</w:t>
            </w:r>
          </w:p>
        </w:tc>
      </w:tr>
      <w:tr>
        <w:tc>
          <w:tcPr/>
          <w:p>
            <w:pPr>
              <w:pStyle w:val="Compact"/>
              <w:jc w:val="left"/>
            </w:pPr>
            <w:r>
              <w:t xml:space="preserve">Development &amp; CMS Integration</w:t>
            </w:r>
          </w:p>
        </w:tc>
        <w:tc>
          <w:tcPr/>
          <w:p>
            <w:pPr>
              <w:pStyle w:val="Compact"/>
              <w:jc w:val="left"/>
            </w:pPr>
            <w:r>
              <w:t xml:space="preserve">Week 10</w:t>
            </w:r>
          </w:p>
        </w:tc>
      </w:tr>
      <w:tr>
        <w:tc>
          <w:tcPr/>
          <w:p>
            <w:pPr>
              <w:pStyle w:val="Compact"/>
              <w:jc w:val="left"/>
            </w:pPr>
            <w:r>
              <w:t xml:space="preserve">QA, Accessibility &amp; Launch</w:t>
            </w:r>
          </w:p>
        </w:tc>
        <w:tc>
          <w:tcPr/>
          <w:p>
            <w:pPr>
              <w:pStyle w:val="Compact"/>
              <w:jc w:val="left"/>
            </w:pPr>
            <w:r>
              <w:t xml:space="preserve">Week 12</w:t>
            </w:r>
          </w:p>
        </w:tc>
      </w:tr>
      <w:tr>
        <w:tc>
          <w:tcPr/>
          <w:p>
            <w:pPr>
              <w:pStyle w:val="Compact"/>
              <w:jc w:val="left"/>
            </w:pPr>
            <w:r>
              <w:t xml:space="preserve">Post-Launch Support Window</w:t>
            </w:r>
          </w:p>
        </w:tc>
        <w:tc>
          <w:tcPr/>
          <w:p>
            <w:pPr>
              <w:pStyle w:val="Compact"/>
              <w:jc w:val="left"/>
            </w:pPr>
            <w:r>
              <w:t xml:space="preserve">Week 13 – 16</w:t>
            </w:r>
          </w:p>
        </w:tc>
      </w:tr>
    </w:tbl>
    <w:bookmarkEnd w:id="26"/>
    <w:bookmarkStart w:id="27" w:name="acceptance-signatures"/>
    <w:p>
      <w:pPr>
        <w:pStyle w:val="Heading2"/>
      </w:pPr>
      <w:r>
        <w:t xml:space="preserve">7. Acceptance &amp; Signatures</w:t>
      </w:r>
    </w:p>
    <w:p>
      <w:pPr>
        <w:pStyle w:val="FirstParagraph"/>
      </w:pPr>
      <w:r>
        <w:t xml:space="preserve">By signing below, both parties acknowledge and agree to the terms, scope, and pricing outlined in this Quotation Estimate for Web Designer services delivered in Netherlands Amsterdam. This document constitutes a binding commercial agreement upon countersignature.</w:t>
      </w:r>
    </w:p>
    <w:bookmarkEnd w:id="27"/>
    <w:p>
      <w:pPr>
        <w:pStyle w:val="BodyText"/>
      </w:pPr>
      <w:r>
        <w:t xml:space="preserve">Studio Pixel &amp; Code B.V.</w:t>
      </w:r>
      <w:r>
        <w:br/>
      </w:r>
      <w:r>
        <w:t xml:space="preserve">(Web Designer / Agency Representative)</w:t>
      </w:r>
    </w:p>
    <w:p>
      <w:pPr>
        <w:pStyle w:val="BodyText"/>
      </w:pPr>
      <w:r>
        <w:t xml:space="preserve">Van der Berg &amp; Partners Consultancy B.V.</w:t>
      </w:r>
      <w:r>
        <w:br/>
      </w:r>
      <w:r>
        <w:t xml:space="preserve">(Client Authorised Signatory)</w:t>
      </w:r>
    </w:p>
    <w:p>
      <w:pPr>
        <w:pStyle w:val="BodyText"/>
      </w:pPr>
      <w:r>
        <w:t xml:space="preserve">Studio Pixel &amp; Code B.V. — Herengracht 412, 1017 BX, Netherlands Amsterdam — KvK 87654321 — BTW NL861234567B01</w:t>
      </w:r>
      <w:r>
        <w:br/>
      </w:r>
      <w:r>
        <w:t xml:space="preserve">This Quotation Estimate was generated on 14 June 2025. For queries, contact: estimates@studiopixelcode.nl | +31 (0)20 777 8899</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Web Designer Services - Netherlands Amsterdam</dc:title>
  <dc:creator/>
  <dc:language>en</dc:language>
  <cp:keywords/>
  <dcterms:created xsi:type="dcterms:W3CDTF">2026-10-10T04:30:34Z</dcterms:created>
  <dcterms:modified xsi:type="dcterms:W3CDTF">2026-10-10T04:30:34Z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