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t xml:space="preserve">Professional Web Designer Services — Saudi Arabia Jeddah</w:t>
      </w:r>
    </w:p>
    <w:p>
      <w:pPr>
        <w:pStyle w:val="BodyText"/>
      </w:pPr>
      <w:r>
        <w:t xml:space="preserve">Digital Solutions &amp; Creative Web Development</w:t>
      </w:r>
    </w:p>
    <w:bookmarkEnd w:id="20"/>
    <w:p>
      <w:pPr>
        <w:pStyle w:val="BodyText"/>
      </w:pPr>
      <w:r>
        <w:rPr>
          <w:bCs/>
          <w:b/>
        </w:rPr>
        <w:t xml:space="preserve">Quotation No.:</w:t>
      </w:r>
      <w:r>
        <w:t xml:space="preserve"> </w:t>
      </w:r>
      <w:r>
        <w:t xml:space="preserve">QE-JED-2025-0472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w:t>
      </w:r>
      <w:r>
        <w:t xml:space="preserve"> </w:t>
      </w:r>
      <w:r>
        <w:t xml:space="preserve">Jeddah, Saudi Arabia</w:t>
      </w:r>
    </w:p>
    <w:bookmarkStart w:id="21" w:name="parties-involved"/>
    <w:p>
      <w:pPr>
        <w:pStyle w:val="Heading2"/>
      </w:pPr>
      <w:r>
        <w:t xml:space="preserve">1. Parties Involved</w:t>
      </w:r>
    </w:p>
    <w:p>
      <w:pPr>
        <w:pStyle w:val="FirstParagraph"/>
      </w:pPr>
      <w:r>
        <w:rPr>
          <w:bCs/>
          <w:b/>
        </w:rPr>
        <w:t xml:space="preserve">Service Provider (Web Designer):</w:t>
      </w:r>
    </w:p>
    <w:p>
      <w:pPr>
        <w:pStyle w:val="BodyText"/>
      </w:pPr>
      <w:r>
        <w:t xml:space="preserve">Al-Nakheel Digital Web Design Studio</w:t>
      </w:r>
      <w:r>
        <w:br/>
      </w:r>
      <w:r>
        <w:t xml:space="preserve">Office 412, Al-Balad Business Center, Al-Balad District</w:t>
      </w:r>
      <w:r>
        <w:br/>
      </w:r>
      <w:r>
        <w:t xml:space="preserve">Jeddah 21589, Saudi Arabia</w:t>
      </w:r>
      <w:r>
        <w:br/>
      </w:r>
      <w:r>
        <w:t xml:space="preserve">CR No.: 1010XXXXXX | VAT No.: 310XXXXXXXXXX03</w:t>
      </w:r>
      <w:r>
        <w:br/>
      </w:r>
      <w:r>
        <w:t xml:space="preserve">Contact: projects@alnakheel-web.sa | +966 12 XXX XXXX</w:t>
      </w:r>
    </w:p>
    <w:p>
      <w:pPr>
        <w:pStyle w:val="BodyText"/>
      </w:pPr>
      <w:r>
        <w:br/>
      </w:r>
    </w:p>
    <w:p>
      <w:pPr>
        <w:pStyle w:val="BodyText"/>
      </w:pPr>
      <w:r>
        <w:rPr>
          <w:bCs/>
          <w:b/>
        </w:rPr>
        <w:t xml:space="preserve">Client / Recipient of this Quotation Estimate:</w:t>
      </w:r>
    </w:p>
    <w:p>
      <w:pPr>
        <w:pStyle w:val="BodyText"/>
      </w:pPr>
      <w:r>
        <w:t xml:space="preserve">[Client Company Name]</w:t>
      </w:r>
      <w:r>
        <w:br/>
      </w:r>
      <w:r>
        <w:t xml:space="preserve">[Client Address], Jeddah, Saudi Arabia</w:t>
      </w:r>
      <w:r>
        <w:br/>
      </w:r>
      <w:r>
        <w:t xml:space="preserve">Contact: [client@email.com] | +966 5X XXX XXXX</w:t>
      </w:r>
    </w:p>
    <w:bookmarkEnd w:id="21"/>
    <w:bookmarkStart w:id="22" w:name="X0c7581080508d578c26b6d8dfd726c7e3ca5cc9"/>
    <w:p>
      <w:pPr>
        <w:pStyle w:val="Heading2"/>
      </w:pPr>
      <w:r>
        <w:t xml:space="preserve">2. Purpose and Scope of This Quotation Estimate</w:t>
      </w:r>
    </w:p>
    <w:p>
      <w:pPr>
        <w:pStyle w:val="FirstParagraph"/>
      </w:pPr>
      <w:r>
        <w:t xml:space="preserve">This Quotation Estimate is prepared by our Web Designer team at Al-Nakheel Digital Web Design Studio to provide a comprehensive, transparent, and itemized cost breakdown for the design, development, and deployment of a fully responsive corporate website. This document serves as a formal proposal for the client located in Saudi Arabia Jeddah and outlines every deliverable, milestone, and associated fee. The Web Designer engagement described herein is tailored specifically to the business requirements, brand identity, and target audience of the client operating within the Jeddah commercial landscape.</w:t>
      </w:r>
    </w:p>
    <w:p>
      <w:pPr>
        <w:pStyle w:val="BodyText"/>
      </w:pPr>
      <w:r>
        <w:t xml:space="preserve">The scope encompasses the complete lifecycle of the web project, from initial discovery and wireframing through to final launch, post-launch support, and a structured handover of all source files, credentials, and documentation. All work will be conducted in accordance with Saudi Arabian data protection regulations and the requirements of the Saudi Data and AI Authority (SDAIA).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(SAR)</w:t>
            </w:r>
          </w:p>
        </w:tc>
      </w:tr>
      <w:tr>
        <w:tc>
          <w:tcPr/>
          <w:p>
            <w:pPr>
              <w:pStyle w:val="Compact"/>
              <w:jc w:val="left"/>
            </w:pPr>
            <w:r>
              <w:t xml:space="preserve">1</w:t>
            </w:r>
          </w:p>
        </w:tc>
        <w:tc>
          <w:tcPr/>
          <w:p>
            <w:pPr>
              <w:pStyle w:val="Compact"/>
              <w:jc w:val="left"/>
            </w:pPr>
            <w:r>
              <w:t xml:space="preserve">Discovery &amp; Strategy Workshop</w:t>
            </w:r>
          </w:p>
        </w:tc>
        <w:tc>
          <w:tcPr/>
          <w:p>
            <w:pPr>
              <w:pStyle w:val="Compact"/>
              <w:jc w:val="left"/>
            </w:pPr>
            <w:r>
              <w:t xml:space="preserve">On-site meeting in Jeddah; competitor analysis; sitemap &amp; user-flow design</w:t>
            </w:r>
          </w:p>
        </w:tc>
        <w:tc>
          <w:tcPr/>
          <w:p>
            <w:pPr>
              <w:pStyle w:val="Compact"/>
              <w:jc w:val="left"/>
            </w:pPr>
            <w:r>
              <w:t xml:space="preserve">1 session</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UI/UX Design (Web Designer Core Service)</w:t>
            </w:r>
          </w:p>
        </w:tc>
        <w:tc>
          <w:tcPr/>
          <w:p>
            <w:pPr>
              <w:pStyle w:val="Compact"/>
              <w:jc w:val="left"/>
            </w:pPr>
            <w:r>
              <w:t xml:space="preserve">Wireframes, high-fidelity mockups, interactive prototype (Figma); 3 revision rounds</w:t>
            </w:r>
          </w:p>
        </w:tc>
        <w:tc>
          <w:tcPr/>
          <w:p>
            <w:pPr>
              <w:pStyle w:val="Compact"/>
              <w:jc w:val="left"/>
            </w:pPr>
            <w:r>
              <w:t xml:space="preserve">1 package</w:t>
            </w:r>
          </w:p>
        </w:tc>
        <w:tc>
          <w:tcPr/>
          <w:p>
            <w:pPr>
              <w:pStyle w:val="Compact"/>
              <w:jc w:val="left"/>
            </w:pPr>
            <w:r>
              <w:t xml:space="preserve">18,000.00</w:t>
            </w:r>
          </w:p>
        </w:tc>
      </w:tr>
      <w:tr>
        <w:tc>
          <w:tcPr/>
          <w:p>
            <w:pPr>
              <w:pStyle w:val="Compact"/>
              <w:jc w:val="left"/>
            </w:pPr>
            <w:r>
              <w:t xml:space="preserve">3</w:t>
            </w:r>
          </w:p>
        </w:tc>
        <w:tc>
          <w:tcPr/>
          <w:p>
            <w:pPr>
              <w:pStyle w:val="Compact"/>
              <w:jc w:val="left"/>
            </w:pPr>
            <w:r>
              <w:t xml:space="preserve">Front-End Development</w:t>
            </w:r>
          </w:p>
        </w:tc>
        <w:tc>
          <w:tcPr/>
          <w:p>
            <w:pPr>
              <w:pStyle w:val="Compact"/>
              <w:jc w:val="left"/>
            </w:pPr>
            <w:r>
              <w:t xml:space="preserve">Responsive HTML5/CSS3/JavaScript build; cross-browser &amp; mobile optimization</w:t>
            </w:r>
          </w:p>
        </w:tc>
        <w:tc>
          <w:tcPr/>
          <w:p>
            <w:pPr>
              <w:pStyle w:val="Compact"/>
              <w:jc w:val="left"/>
            </w:pPr>
            <w:r>
              <w:t xml:space="preserve">1 website (up to 12 pages)</w:t>
            </w:r>
          </w:p>
        </w:tc>
        <w:tc>
          <w:tcPr/>
          <w:p>
            <w:pPr>
              <w:pStyle w:val="Compact"/>
              <w:jc w:val="left"/>
            </w:pPr>
            <w:r>
              <w:t xml:space="preserve">22,000.00</w:t>
            </w:r>
          </w:p>
        </w:tc>
      </w:tr>
      <w:tr>
        <w:tc>
          <w:tcPr/>
          <w:p>
            <w:pPr>
              <w:pStyle w:val="Compact"/>
              <w:jc w:val="left"/>
            </w:pPr>
            <w:r>
              <w:t xml:space="preserve">4</w:t>
            </w:r>
          </w:p>
        </w:tc>
        <w:tc>
          <w:tcPr/>
          <w:p>
            <w:pPr>
              <w:pStyle w:val="Compact"/>
              <w:jc w:val="left"/>
            </w:pPr>
            <w:r>
              <w:t xml:space="preserve">Back-End &amp; CMS Integration</w:t>
            </w:r>
          </w:p>
        </w:tc>
        <w:tc>
          <w:tcPr/>
          <w:p>
            <w:pPr>
              <w:pStyle w:val="Compact"/>
              <w:jc w:val="left"/>
            </w:pPr>
            <w:r>
              <w:t xml:space="preserve">WordPress / custom CMS setup; admin panel; content management training</w:t>
            </w:r>
          </w:p>
        </w:tc>
        <w:tc>
          <w:tcPr/>
          <w:p>
            <w:pPr>
              <w:pStyle w:val="Compact"/>
              <w:jc w:val="left"/>
            </w:pPr>
            <w:r>
              <w:t xml:space="preserve">1 installation</w:t>
            </w:r>
          </w:p>
        </w:tc>
        <w:tc>
          <w:tcPr/>
          <w:p>
            <w:pPr>
              <w:pStyle w:val="Compact"/>
              <w:jc w:val="left"/>
            </w:pPr>
            <w:r>
              <w:t xml:space="preserve">12,500.00</w:t>
            </w:r>
          </w:p>
        </w:tc>
      </w:tr>
      <w:tr>
        <w:tc>
          <w:tcPr/>
          <w:p>
            <w:pPr>
              <w:pStyle w:val="Compact"/>
              <w:jc w:val="left"/>
            </w:pPr>
            <w:r>
              <w:t xml:space="preserve">5</w:t>
            </w:r>
          </w:p>
        </w:tc>
        <w:tc>
          <w:tcPr/>
          <w:p>
            <w:pPr>
              <w:pStyle w:val="Compact"/>
              <w:jc w:val="left"/>
            </w:pPr>
            <w:r>
              <w:t xml:space="preserve">Arabic &amp; English Bilingual Content Setup</w:t>
            </w:r>
          </w:p>
        </w:tc>
        <w:tc>
          <w:tcPr/>
          <w:p>
            <w:pPr>
              <w:pStyle w:val="Compact"/>
              <w:jc w:val="left"/>
            </w:pPr>
            <w:r>
              <w:t xml:space="preserve">RTL/LTR dual-language architecture; translation-ready structure</w:t>
            </w:r>
          </w:p>
        </w:tc>
        <w:tc>
          <w:tcPr/>
          <w:p>
            <w:pPr>
              <w:pStyle w:val="Compact"/>
              <w:jc w:val="left"/>
            </w:pPr>
            <w:r>
              <w:t xml:space="preserve">2 languages</w:t>
            </w:r>
          </w:p>
        </w:tc>
        <w:tc>
          <w:tcPr/>
          <w:p>
            <w:pPr>
              <w:pStyle w:val="Compact"/>
              <w:jc w:val="left"/>
            </w:pPr>
            <w:r>
              <w:t xml:space="preserve">6,000.00</w:t>
            </w:r>
          </w:p>
        </w:tc>
      </w:tr>
      <w:tr>
        <w:tc>
          <w:tcPr/>
          <w:p>
            <w:pPr>
              <w:pStyle w:val="Compact"/>
              <w:jc w:val="left"/>
            </w:pPr>
            <w:r>
              <w:t xml:space="preserve">6</w:t>
            </w:r>
          </w:p>
        </w:tc>
        <w:tc>
          <w:tcPr/>
          <w:p>
            <w:pPr>
              <w:pStyle w:val="Compact"/>
              <w:jc w:val="left"/>
            </w:pPr>
            <w:r>
              <w:t xml:space="preserve">E-Commerce Module (Optional)</w:t>
            </w:r>
          </w:p>
        </w:tc>
        <w:tc>
          <w:tcPr/>
          <w:p>
            <w:pPr>
              <w:pStyle w:val="Compact"/>
              <w:jc w:val="left"/>
            </w:pPr>
            <w:r>
              <w:t xml:space="preserve">Product catalog, shopping cart, Saudi payment gateway integration (Mada, STC Pay, Apple Pay)</w:t>
            </w:r>
          </w:p>
        </w:tc>
        <w:tc>
          <w:tcPr/>
          <w:p>
            <w:pPr>
              <w:pStyle w:val="Compact"/>
              <w:jc w:val="left"/>
            </w:pPr>
            <w:r>
              <w:t xml:space="preserve">1 module</w:t>
            </w:r>
          </w:p>
        </w:tc>
        <w:tc>
          <w:tcPr/>
          <w:p>
            <w:pPr>
              <w:pStyle w:val="Compact"/>
              <w:jc w:val="left"/>
            </w:pPr>
            <w:r>
              <w:t xml:space="preserve">15,000.00</w:t>
            </w:r>
          </w:p>
        </w:tc>
      </w:tr>
      <w:tr>
        <w:tc>
          <w:tcPr/>
          <w:p>
            <w:pPr>
              <w:pStyle w:val="Compact"/>
              <w:jc w:val="left"/>
            </w:pPr>
            <w:r>
              <w:t xml:space="preserve">7</w:t>
            </w:r>
          </w:p>
        </w:tc>
        <w:tc>
          <w:tcPr/>
          <w:p>
            <w:pPr>
              <w:pStyle w:val="Compact"/>
              <w:jc w:val="left"/>
            </w:pPr>
            <w:r>
              <w:t xml:space="preserve">SEO Foundation &amp; Performance Optimization</w:t>
            </w:r>
          </w:p>
        </w:tc>
        <w:tc>
          <w:tcPr/>
          <w:p>
            <w:pPr>
              <w:pStyle w:val="Compact"/>
              <w:jc w:val="left"/>
            </w:pPr>
            <w:r>
              <w:t xml:space="preserve">On-page SEO, meta tags, schema markup, Core Web Vitals optimization, speed tuning</w:t>
            </w:r>
          </w:p>
        </w:tc>
        <w:tc>
          <w:tcPr/>
          <w:p>
            <w:pPr>
              <w:pStyle w:val="Compact"/>
              <w:jc w:val="left"/>
            </w:pPr>
            <w:r>
              <w:t xml:space="preserve">1 package</w:t>
            </w:r>
          </w:p>
        </w:tc>
        <w:tc>
          <w:tcPr/>
          <w:p>
            <w:pPr>
              <w:pStyle w:val="Compact"/>
              <w:jc w:val="left"/>
            </w:pPr>
            <w:r>
              <w:t xml:space="preserve">5,500.00</w:t>
            </w:r>
          </w:p>
        </w:tc>
      </w:tr>
      <w:tr>
        <w:tc>
          <w:tcPr/>
          <w:p>
            <w:pPr>
              <w:pStyle w:val="Compact"/>
              <w:jc w:val="left"/>
            </w:pPr>
            <w:r>
              <w:t xml:space="preserve">8</w:t>
            </w:r>
          </w:p>
        </w:tc>
        <w:tc>
          <w:tcPr/>
          <w:p>
            <w:pPr>
              <w:pStyle w:val="Compact"/>
              <w:jc w:val="left"/>
            </w:pPr>
            <w:r>
              <w:t xml:space="preserve">Security Hardening &amp; SSL Configuration</w:t>
            </w:r>
          </w:p>
        </w:tc>
        <w:tc>
          <w:tcPr/>
          <w:p>
            <w:pPr>
              <w:pStyle w:val="Compact"/>
              <w:jc w:val="left"/>
            </w:pPr>
            <w:r>
              <w:t xml:space="preserve">SSL certificate installation, firewall setup, malware scanning, backup automation</w:t>
            </w:r>
          </w:p>
        </w:tc>
        <w:tc>
          <w:tcPr/>
          <w:p>
            <w:pPr>
              <w:pStyle w:val="Compact"/>
              <w:jc w:val="left"/>
            </w:pPr>
            <w:r>
              <w:t xml:space="preserve">1 setup</w:t>
            </w:r>
          </w:p>
        </w:tc>
        <w:tc>
          <w:tcPr/>
          <w:p>
            <w:pPr>
              <w:pStyle w:val="Compact"/>
              <w:jc w:val="left"/>
            </w:pPr>
            <w:r>
              <w:t xml:space="preserve">3,500.00</w:t>
            </w:r>
          </w:p>
        </w:tc>
      </w:tr>
      <w:tr>
        <w:tc>
          <w:tcPr/>
          <w:p>
            <w:pPr>
              <w:pStyle w:val="Compact"/>
              <w:jc w:val="left"/>
            </w:pPr>
            <w:r>
              <w:t xml:space="preserve">9</w:t>
            </w:r>
          </w:p>
        </w:tc>
        <w:tc>
          <w:tcPr/>
          <w:p>
            <w:pPr>
              <w:pStyle w:val="Compact"/>
              <w:jc w:val="left"/>
            </w:pPr>
            <w:r>
              <w:t xml:space="preserve">Hosting &amp; Domain (Year 1)</w:t>
            </w:r>
          </w:p>
        </w:tc>
        <w:tc>
          <w:tcPr/>
          <w:p>
            <w:pPr>
              <w:pStyle w:val="Compact"/>
              <w:jc w:val="left"/>
            </w:pPr>
            <w:r>
              <w:t xml:space="preserve">Managed hosting on Saudi data center (Jeddah); .sa domain registration</w:t>
            </w:r>
          </w:p>
        </w:tc>
        <w:tc>
          <w:tcPr/>
          <w:p>
            <w:pPr>
              <w:pStyle w:val="Compact"/>
              <w:jc w:val="left"/>
            </w:pPr>
            <w:r>
              <w:t xml:space="preserve">12 months</w:t>
            </w:r>
          </w:p>
        </w:tc>
        <w:tc>
          <w:tcPr/>
          <w:p>
            <w:pPr>
              <w:pStyle w:val="Compact"/>
              <w:jc w:val="left"/>
            </w:pPr>
            <w:r>
              <w:t xml:space="preserve">4,800.00</w:t>
            </w:r>
          </w:p>
        </w:tc>
      </w:tr>
      <w:tr>
        <w:tc>
          <w:tcPr/>
          <w:p>
            <w:pPr>
              <w:pStyle w:val="Compact"/>
              <w:jc w:val="left"/>
            </w:pPr>
            <w:r>
              <w:t xml:space="preserve">10</w:t>
            </w:r>
          </w:p>
        </w:tc>
        <w:tc>
          <w:tcPr/>
          <w:p>
            <w:pPr>
              <w:pStyle w:val="Compact"/>
              <w:jc w:val="left"/>
            </w:pPr>
            <w:r>
              <w:t xml:space="preserve">Post-Launch Support &amp; Maintenance (3 months)</w:t>
            </w:r>
          </w:p>
        </w:tc>
        <w:tc>
          <w:tcPr/>
          <w:p>
            <w:pPr>
              <w:pStyle w:val="Compact"/>
              <w:jc w:val="left"/>
            </w:pPr>
            <w:r>
              <w:t xml:space="preserve">Bug fixes, minor content updates, monthly performance reports</w:t>
            </w:r>
          </w:p>
        </w:tc>
        <w:tc>
          <w:tcPr/>
          <w:p>
            <w:pPr>
              <w:pStyle w:val="Compact"/>
              <w:jc w:val="left"/>
            </w:pPr>
            <w:r>
              <w:t xml:space="preserve">3 months</w:t>
            </w:r>
          </w:p>
        </w:tc>
        <w:tc>
          <w:tcPr/>
          <w:p>
            <w:pPr>
              <w:pStyle w:val="Compact"/>
              <w:jc w:val="left"/>
            </w:pPr>
            <w:r>
              <w:t xml:space="preserve">7,200.00</w:t>
            </w:r>
          </w:p>
        </w:tc>
      </w:tr>
      <w:tr>
        <w:tc>
          <w:tcPr/>
          <w:p>
            <w:pPr>
              <w:pStyle w:val="Compact"/>
              <w:jc w:val="left"/>
            </w:pPr>
            <w:r>
              <w:t xml:space="preserve">11</w:t>
            </w:r>
          </w:p>
        </w:tc>
        <w:tc>
          <w:tcPr/>
          <w:p>
            <w:pPr>
              <w:pStyle w:val="Compact"/>
              <w:jc w:val="left"/>
            </w:pPr>
            <w:r>
              <w:t xml:space="preserve">Training &amp; Documentation Handover</w:t>
            </w:r>
          </w:p>
        </w:tc>
        <w:tc>
          <w:tcPr/>
          <w:p>
            <w:pPr>
              <w:pStyle w:val="Compact"/>
              <w:jc w:val="left"/>
            </w:pPr>
            <w:r>
              <w:t xml:space="preserve">2-hour on-site training in Jeddah; written user manual; video walkthrough</w:t>
            </w:r>
          </w:p>
        </w:tc>
        <w:tc>
          <w:tcPr/>
          <w:p>
            <w:pPr>
              <w:pStyle w:val="Compact"/>
              <w:jc w:val="left"/>
            </w:pPr>
            <w:r>
              <w:t xml:space="preserve">1 session</w:t>
            </w:r>
          </w:p>
        </w:tc>
        <w:tc>
          <w:tcPr/>
          <w:p>
            <w:pPr>
              <w:pStyle w:val="Compact"/>
              <w:jc w:val="left"/>
            </w:pPr>
            <w:r>
              <w:t xml:space="preserve">3,000.00</w:t>
            </w:r>
          </w:p>
        </w:tc>
      </w:tr>
      <w:tr>
        <w:tc>
          <w:tcPr>
            <w:gridSpan w:val="4"/>
          </w:tcPr>
          <w:p>
            <w:pPr>
              <w:pStyle w:val="Compact"/>
              <w:jc w:val="left"/>
            </w:pPr>
            <w:r>
              <w:t xml:space="preserve">Subtotal (SAR)</w:t>
            </w:r>
          </w:p>
        </w:tc>
        <w:tc>
          <w:tcPr/>
          <w:p>
            <w:pPr>
              <w:pStyle w:val="Compact"/>
              <w:jc w:val="left"/>
            </w:pPr>
            <w:r>
              <w:t xml:space="preserve">102,000.00</w:t>
            </w:r>
          </w:p>
        </w:tc>
      </w:tr>
      <w:tr>
        <w:tc>
          <w:tcPr>
            <w:gridSpan w:val="4"/>
          </w:tcPr>
          <w:p>
            <w:pPr>
              <w:pStyle w:val="Compact"/>
              <w:jc w:val="left"/>
            </w:pPr>
            <w:r>
              <w:t xml:space="preserve">VAT @ 15% (Saudi Arabia)</w:t>
            </w:r>
          </w:p>
        </w:tc>
        <w:tc>
          <w:tcPr/>
          <w:p>
            <w:pPr>
              <w:pStyle w:val="Compact"/>
              <w:jc w:val="left"/>
            </w:pPr>
            <w:r>
              <w:t xml:space="preserve">15,300.00</w:t>
            </w:r>
          </w:p>
        </w:tc>
      </w:tr>
      <w:tr>
        <w:tc>
          <w:tcPr>
            <w:gridSpan w:val="4"/>
          </w:tcPr>
          <w:p>
            <w:pPr>
              <w:pStyle w:val="Compact"/>
              <w:jc w:val="left"/>
            </w:pPr>
            <w:r>
              <w:t xml:space="preserve">Grand Total (SAR)</w:t>
            </w:r>
          </w:p>
        </w:tc>
        <w:tc>
          <w:tcPr/>
          <w:p>
            <w:pPr>
              <w:pStyle w:val="Compact"/>
              <w:jc w:val="left"/>
            </w:pPr>
            <w:r>
              <w:t xml:space="preserve">117,300.00</w:t>
            </w:r>
          </w:p>
        </w:tc>
      </w:tr>
    </w:tbl>
    <w:p>
      <w:pPr>
        <w:pStyle w:val="BodyText"/>
      </w:pPr>
      <w:r>
        <w:rPr>
          <w:bCs/>
          <w:b/>
        </w:rPr>
        <w:t xml:space="preserve">Note:</w:t>
      </w:r>
      <w:r>
        <w:t xml:space="preserve"> </w:t>
      </w:r>
      <w:r>
        <w:t xml:space="preserve">All prices are quoted in Saudi Riyals (SAR). The 15% Value Added Tax (VAT) is applied in compliance with the Zakat, Tax and Customs Authority (ZATCA) regulations in Saudi Arabia. This Quotation Estimate is valid for 30 calendar days from the date of issue.</w:t>
      </w:r>
    </w:p>
    <w:bookmarkEnd w:id="23"/>
    <w:bookmarkStart w:id="24" w:name="project-timeline"/>
    <w:p>
      <w:pPr>
        <w:pStyle w:val="Heading2"/>
      </w:pPr>
      <w:r>
        <w:t xml:space="preserve">4. Project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Discovery &amp; Planning</w:t>
            </w:r>
          </w:p>
        </w:tc>
        <w:tc>
          <w:tcPr/>
          <w:p>
            <w:pPr>
              <w:pStyle w:val="Compact"/>
              <w:jc w:val="left"/>
            </w:pPr>
            <w:r>
              <w:t xml:space="preserve">Week 1</w:t>
            </w:r>
          </w:p>
        </w:tc>
        <w:tc>
          <w:tcPr/>
          <w:p>
            <w:pPr>
              <w:pStyle w:val="Compact"/>
              <w:jc w:val="left"/>
            </w:pPr>
            <w:r>
              <w:t xml:space="preserve">Sitemap, content outline, project brief</w:t>
            </w:r>
          </w:p>
        </w:tc>
      </w:tr>
      <w:tr>
        <w:tc>
          <w:tcPr/>
          <w:p>
            <w:pPr>
              <w:pStyle w:val="Compact"/>
              <w:jc w:val="left"/>
            </w:pPr>
            <w:r>
              <w:t xml:space="preserve">UI/UX Design</w:t>
            </w:r>
          </w:p>
        </w:tc>
        <w:tc>
          <w:tcPr/>
          <w:p>
            <w:pPr>
              <w:pStyle w:val="Compact"/>
              <w:jc w:val="left"/>
            </w:pPr>
            <w:r>
              <w:t xml:space="preserve">Weeks 2–3</w:t>
            </w:r>
          </w:p>
        </w:tc>
        <w:tc>
          <w:tcPr/>
          <w:p>
            <w:pPr>
              <w:pStyle w:val="Compact"/>
              <w:jc w:val="left"/>
            </w:pPr>
            <w:r>
              <w:t xml:space="preserve">Approved high-fidelity designs &amp; prototype</w:t>
            </w:r>
          </w:p>
        </w:tc>
      </w:tr>
      <w:tr>
        <w:tc>
          <w:tcPr/>
          <w:p>
            <w:pPr>
              <w:pStyle w:val="Compact"/>
              <w:jc w:val="left"/>
            </w:pPr>
            <w:r>
              <w:t xml:space="preserve">Development</w:t>
            </w:r>
          </w:p>
        </w:tc>
        <w:tc>
          <w:tcPr/>
          <w:p>
            <w:pPr>
              <w:pStyle w:val="Compact"/>
              <w:jc w:val="left"/>
            </w:pPr>
            <w:r>
              <w:t xml:space="preserve">Weeks 4–6</w:t>
            </w:r>
          </w:p>
        </w:tc>
        <w:tc>
          <w:tcPr/>
          <w:p>
            <w:pPr>
              <w:pStyle w:val="Compact"/>
              <w:jc w:val="left"/>
            </w:pPr>
            <w:r>
              <w:t xml:space="preserve">Functional website on staging server</w:t>
            </w:r>
          </w:p>
        </w:tc>
      </w:tr>
      <w:tr>
        <w:tc>
          <w:tcPr/>
          <w:p>
            <w:pPr>
              <w:pStyle w:val="Compact"/>
              <w:jc w:val="left"/>
            </w:pPr>
            <w:r>
              <w:t xml:space="preserve">Testing &amp; QA</w:t>
            </w:r>
          </w:p>
        </w:tc>
        <w:tc>
          <w:tcPr/>
          <w:p>
            <w:pPr>
              <w:pStyle w:val="Compact"/>
              <w:jc w:val="left"/>
            </w:pPr>
            <w:r>
              <w:t xml:space="preserve">Week 7</w:t>
            </w:r>
          </w:p>
        </w:tc>
        <w:tc>
          <w:tcPr/>
          <w:p>
            <w:pPr>
              <w:pStyle w:val="Compact"/>
              <w:jc w:val="left"/>
            </w:pPr>
            <w:r>
              <w:t xml:space="preserve">Test report, bug-fix cycle</w:t>
            </w:r>
          </w:p>
        </w:tc>
      </w:tr>
      <w:tr>
        <w:tc>
          <w:tcPr/>
          <w:p>
            <w:pPr>
              <w:pStyle w:val="Compact"/>
              <w:jc w:val="left"/>
            </w:pPr>
            <w:r>
              <w:t xml:space="preserve">Launch &amp; Handover</w:t>
            </w:r>
          </w:p>
        </w:tc>
        <w:tc>
          <w:tcPr/>
          <w:p>
            <w:pPr>
              <w:pStyle w:val="Compact"/>
              <w:jc w:val="left"/>
            </w:pPr>
            <w:r>
              <w:t xml:space="preserve">Week 8</w:t>
            </w:r>
          </w:p>
        </w:tc>
        <w:tc>
          <w:tcPr/>
          <w:p>
            <w:pPr>
              <w:pStyle w:val="Compact"/>
              <w:jc w:val="left"/>
            </w:pPr>
            <w:r>
              <w:t xml:space="preserve">Live site, training, documentation</w:t>
            </w:r>
          </w:p>
        </w:tc>
      </w:tr>
    </w:tbl>
    <w:bookmarkEnd w:id="24"/>
    <w:bookmarkStart w:id="25" w:name="payment-schedule"/>
    <w:p>
      <w:pPr>
        <w:pStyle w:val="Heading2"/>
      </w:pPr>
      <w:r>
        <w:t xml:space="preserve">5. Payment Schedule</w:t>
      </w:r>
    </w:p>
    <w:p>
      <w:pPr>
        <w:numPr>
          <w:ilvl w:val="0"/>
          <w:numId w:val="1001"/>
        </w:numPr>
        <w:pStyle w:val="Compact"/>
      </w:pPr>
      <w:r>
        <w:rPr>
          <w:bCs/>
          <w:b/>
        </w:rPr>
        <w:t xml:space="preserve">30% Advance (SAR 35,190.00):</w:t>
      </w:r>
      <w:r>
        <w:t xml:space="preserve"> </w:t>
      </w:r>
      <w:r>
        <w:t xml:space="preserve">Due upon acceptance of this Quotation Estimate and signing of the service agreement.</w:t>
      </w:r>
    </w:p>
    <w:p>
      <w:pPr>
        <w:numPr>
          <w:ilvl w:val="0"/>
          <w:numId w:val="1001"/>
        </w:numPr>
        <w:pStyle w:val="Compact"/>
      </w:pPr>
      <w:r>
        <w:rPr>
          <w:bCs/>
          <w:b/>
        </w:rPr>
        <w:t xml:space="preserve">40% Milestone (SAR 46,920.00):</w:t>
      </w:r>
      <w:r>
        <w:t xml:space="preserve"> </w:t>
      </w:r>
      <w:r>
        <w:t xml:space="preserve">Due upon client approval of the final UI/UX design deliverables.</w:t>
      </w:r>
    </w:p>
    <w:p>
      <w:pPr>
        <w:numPr>
          <w:ilvl w:val="0"/>
          <w:numId w:val="1001"/>
        </w:numPr>
        <w:pStyle w:val="Compact"/>
      </w:pPr>
      <w:r>
        <w:rPr>
          <w:bCs/>
          <w:b/>
        </w:rPr>
        <w:t xml:space="preserve">30% Final (SAR 35,190.00):</w:t>
      </w:r>
      <w:r>
        <w:t xml:space="preserve"> </w:t>
      </w:r>
      <w:r>
        <w:t xml:space="preserve">Due upon successful go-live and completion of the training session in Jeddah.</w:t>
      </w:r>
    </w:p>
    <w:p>
      <w:pPr>
        <w:pStyle w:val="FirstParagraph"/>
      </w:pPr>
      <w:r>
        <w:t xml:space="preserve">Payments may be made via bank transfer to the Web Designer studio's corporate account in Jeddah, Saudi Arabia. Invoices will be issued in accordance with ZATCA e-invoicing requirements.</w:t>
      </w:r>
    </w:p>
    <w:bookmarkEnd w:id="25"/>
    <w:bookmarkStart w:id="26" w:name="terms-and-conditions"/>
    <w:p>
      <w:pPr>
        <w:pStyle w:val="Heading2"/>
      </w:pPr>
      <w:r>
        <w:t xml:space="preserve">6. Terms and Conditions</w:t>
      </w:r>
    </w:p>
    <w:p>
      <w:pPr>
        <w:numPr>
          <w:ilvl w:val="0"/>
          <w:numId w:val="1002"/>
        </w:numPr>
        <w:pStyle w:val="Compact"/>
      </w:pPr>
      <w:r>
        <w:t xml:space="preserve">This Quotation Estimate is a non-binding proposal until both parties execute a formal Service Agreement.</w:t>
      </w:r>
    </w:p>
    <w:p>
      <w:pPr>
        <w:numPr>
          <w:ilvl w:val="0"/>
          <w:numId w:val="1002"/>
        </w:numPr>
        <w:pStyle w:val="Compact"/>
      </w:pPr>
      <w:r>
        <w:t xml:space="preserve">The Web Designer retains full intellectual property rights over reusable code libraries, design systems, and proprietary tools. All custom work created specifically for the client becomes the client's property upon full payment.</w:t>
      </w:r>
    </w:p>
    <w:p>
      <w:pPr>
        <w:numPr>
          <w:ilvl w:val="0"/>
          <w:numId w:val="1002"/>
        </w:numPr>
        <w:pStyle w:val="Compact"/>
      </w:pPr>
      <w:r>
        <w:t xml:space="preserve">Any changes to the agreed scope beyond the included revision rounds will be quoted separately as a change order.</w:t>
      </w:r>
    </w:p>
    <w:p>
      <w:pPr>
        <w:numPr>
          <w:ilvl w:val="0"/>
          <w:numId w:val="1002"/>
        </w:numPr>
        <w:pStyle w:val="Compact"/>
      </w:pPr>
      <w:r>
        <w:t xml:space="preserve">The Web Designer is not liable for third-party service outages (hosting provider, domain registrar, payment gateways) beyond reasonable mitigation efforts.</w:t>
      </w:r>
    </w:p>
    <w:p>
      <w:pPr>
        <w:numPr>
          <w:ilvl w:val="0"/>
          <w:numId w:val="1002"/>
        </w:numPr>
        <w:pStyle w:val="Compact"/>
      </w:pPr>
      <w:r>
        <w:t xml:space="preserve">All personal data processed during the project will be handled in compliance with the Saudi Personal Data Protection Law (PDPL).</w:t>
      </w:r>
    </w:p>
    <w:p>
      <w:pPr>
        <w:numPr>
          <w:ilvl w:val="0"/>
          <w:numId w:val="1002"/>
        </w:numPr>
        <w:pStyle w:val="Compact"/>
      </w:pPr>
      <w:r>
        <w:t xml:space="preserve">This Quotation Estimate is governed by the laws of the Kingdom of Saudi Arabia. Any disputes shall be resolved through the competent courts in Jeddah, Saudi Arabia.</w:t>
      </w:r>
    </w:p>
    <w:p>
      <w:pPr>
        <w:numPr>
          <w:ilvl w:val="0"/>
          <w:numId w:val="1002"/>
        </w:numPr>
        <w:pStyle w:val="Compact"/>
      </w:pPr>
      <w:r>
        <w:t xml:space="preserve">The client agrees to provide all necessary content, brand assets, and access credentials within 5 business days of project kickoff to avoid timeline delays.</w:t>
      </w:r>
    </w:p>
    <w:bookmarkEnd w:id="26"/>
    <w:bookmarkStart w:id="27" w:name="acceptance"/>
    <w:p>
      <w:pPr>
        <w:pStyle w:val="Heading2"/>
      </w:pPr>
      <w:r>
        <w:t xml:space="preserve">7. Acceptance</w:t>
      </w:r>
    </w:p>
    <w:p>
      <w:pPr>
        <w:pStyle w:val="FirstParagraph"/>
      </w:pPr>
      <w:r>
        <w:t xml:space="preserve">By signing below, the client acknowledges receipt of this Quotation Estimate for Web Designer services in Saudi Arabia Jeddah and agrees to the terms, pricing, and timeline outlined herein. The Web Designer studio confirms its commitment to delivering the scoped services with professional excellence.</w:t>
      </w:r>
    </w:p>
    <w:p>
      <w:pPr>
        <w:pStyle w:val="BodyText"/>
      </w:pPr>
      <w:r>
        <w:rPr>
          <w:bCs/>
          <w:b/>
        </w:rPr>
        <w:t xml:space="preserve">For: Al-Nakheel Digital Web Design Studio</w:t>
      </w:r>
      <w:r>
        <w:br/>
      </w:r>
      <w:r>
        <w:t xml:space="preserve">Authorized Signatory — Web Designer Lead</w:t>
      </w:r>
      <w:r>
        <w:br/>
      </w:r>
      <w:r>
        <w:t xml:space="preserve">Name: _________________________</w:t>
      </w:r>
      <w:r>
        <w:br/>
      </w:r>
      <w:r>
        <w:t xml:space="preserve">Date: _________________________</w:t>
      </w:r>
    </w:p>
    <w:p>
      <w:pPr>
        <w:pStyle w:val="BodyText"/>
      </w:pPr>
      <w:r>
        <w:rPr>
          <w:bCs/>
          <w:b/>
        </w:rPr>
        <w:t xml:space="preserve">For: [Client Company Name]</w:t>
      </w:r>
      <w:r>
        <w:br/>
      </w:r>
      <w:r>
        <w:t xml:space="preserve">Authorized Signatory</w:t>
      </w:r>
      <w:r>
        <w:br/>
      </w:r>
      <w:r>
        <w:t xml:space="preserve">Name: _________________________</w:t>
      </w:r>
      <w:r>
        <w:br/>
      </w:r>
      <w:r>
        <w:t xml:space="preserve">Date: _________________________</w:t>
      </w:r>
    </w:p>
    <w:p>
      <w:pPr>
        <w:pStyle w:val="BodyText"/>
      </w:pPr>
      <w:r>
        <w:t xml:space="preserve">© 2025 Al-Nakheel Digital Web Design Studio — Jeddah, Saudi Arabia. This Quotation Estimate document is confidential and intended solely for the named recipient.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Saudi Arabia Jeddah</dc:title>
  <dc:creator/>
  <dc:language>en</dc:language>
  <cp:keywords/>
  <dcterms:created xsi:type="dcterms:W3CDTF">2026-10-10T03:22:39Z</dcterms:created>
  <dcterms:modified xsi:type="dcterms:W3CDTF">2026-10-10T03:22:39Z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