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Web</w:t>
      </w:r>
      <w:r>
        <w:t xml:space="preserve"> </w:t>
      </w:r>
      <w:r>
        <w:t xml:space="preserve">Designer</w:t>
      </w:r>
      <w:r>
        <w:t xml:space="preserve"> </w:t>
      </w:r>
      <w:r>
        <w:t xml:space="preserve">Services</w:t>
      </w:r>
      <w:r>
        <w:t xml:space="preserve"> </w:t>
      </w:r>
      <w:r>
        <w:t xml:space="preserve">-</w:t>
      </w:r>
      <w:r>
        <w:t xml:space="preserve"> </w:t>
      </w:r>
      <w:r>
        <w:t xml:space="preserve">Spain</w:t>
      </w:r>
      <w:r>
        <w:t xml:space="preserve"> </w:t>
      </w:r>
      <w:r>
        <w:t xml:space="preserve">Barcelona</w:t>
      </w:r>
    </w:p>
    <w:bookmarkStart w:id="20" w:name="quotation-estimate"/>
    <w:p>
      <w:pPr>
        <w:pStyle w:val="Heading1"/>
      </w:pPr>
      <w:r>
        <w:t xml:space="preserve">QUOTATION ESTIMATE</w:t>
      </w:r>
    </w:p>
    <w:p>
      <w:pPr>
        <w:pStyle w:val="FirstParagraph"/>
      </w:pPr>
      <w:r>
        <w:t xml:space="preserve">Professional Web Designer Services — Spain Barcelona</w:t>
      </w:r>
    </w:p>
    <w:p>
      <w:pPr>
        <w:pStyle w:val="BodyText"/>
      </w:pPr>
      <w:r>
        <w:t xml:space="preserve">Reference No: QTE-BCN-2025-0472 | Date: 15 June 2025</w:t>
      </w:r>
    </w:p>
    <w:bookmarkEnd w:id="20"/>
    <w:bookmarkStart w:id="21" w:name="prepared-by"/>
    <w:p>
      <w:pPr>
        <w:pStyle w:val="Heading3"/>
      </w:pPr>
      <w:r>
        <w:t xml:space="preserve">Prepared By</w:t>
      </w:r>
    </w:p>
    <w:p>
      <w:pPr>
        <w:pStyle w:val="FirstParagraph"/>
      </w:pPr>
      <w:r>
        <w:rPr>
          <w:bCs/>
          <w:b/>
        </w:rPr>
        <w:t xml:space="preserve">Barcelona Digital Studio S.L.</w:t>
      </w:r>
    </w:p>
    <w:p>
      <w:pPr>
        <w:pStyle w:val="BodyText"/>
      </w:pPr>
      <w:r>
        <w:t xml:space="preserve">Carrer de la Marina, 142, 3º</w:t>
      </w:r>
    </w:p>
    <w:p>
      <w:pPr>
        <w:pStyle w:val="BodyText"/>
      </w:pPr>
      <w:r>
        <w:t xml:space="preserve">08005 Barcelona, Spain</w:t>
      </w:r>
    </w:p>
    <w:p>
      <w:pPr>
        <w:pStyle w:val="BodyText"/>
      </w:pPr>
      <w:r>
        <w:t xml:space="preserve">Tel: +34 93 214 5678</w:t>
      </w:r>
    </w:p>
    <w:p>
      <w:pPr>
        <w:pStyle w:val="BodyText"/>
      </w:pPr>
      <w:r>
        <w:t xml:space="preserve">Email: quotes@barcelonadigitalstudio.es</w:t>
      </w:r>
    </w:p>
    <w:p>
      <w:pPr>
        <w:pStyle w:val="BodyText"/>
      </w:pPr>
      <w:r>
        <w:t xml:space="preserve">NIF: B-65432109</w:t>
      </w:r>
    </w:p>
    <w:bookmarkEnd w:id="21"/>
    <w:bookmarkStart w:id="22" w:name="prepared-for"/>
    <w:p>
      <w:pPr>
        <w:pStyle w:val="Heading3"/>
      </w:pPr>
      <w:r>
        <w:t xml:space="preserve">Prepared For</w:t>
      </w:r>
    </w:p>
    <w:p>
      <w:pPr>
        <w:pStyle w:val="FirstParagraph"/>
      </w:pPr>
      <w:r>
        <w:rPr>
          <w:bCs/>
          <w:b/>
        </w:rPr>
        <w:t xml:space="preserve">Client Name:</w:t>
      </w:r>
      <w:r>
        <w:t xml:space="preserve"> </w:t>
      </w:r>
      <w:r>
        <w:t xml:space="preserve">[Client Company Name]</w:t>
      </w:r>
    </w:p>
    <w:p>
      <w:pPr>
        <w:pStyle w:val="BodyText"/>
      </w:pPr>
      <w:r>
        <w:rPr>
          <w:bCs/>
          <w:b/>
        </w:rPr>
        <w:t xml:space="preserve">Address:</w:t>
      </w:r>
      <w:r>
        <w:t xml:space="preserve"> </w:t>
      </w:r>
      <w:r>
        <w:t xml:space="preserve">[Client Street Address]</w:t>
      </w:r>
    </w:p>
    <w:p>
      <w:pPr>
        <w:pStyle w:val="BodyText"/>
      </w:pPr>
      <w:r>
        <w:rPr>
          <w:bCs/>
          <w:b/>
        </w:rPr>
        <w:t xml:space="preserve">City:</w:t>
      </w:r>
      <w:r>
        <w:t xml:space="preserve"> </w:t>
      </w:r>
      <w:r>
        <w:t xml:space="preserve">Barcelona, Spain</w:t>
      </w:r>
    </w:p>
    <w:p>
      <w:pPr>
        <w:pStyle w:val="BodyText"/>
      </w:pPr>
      <w:r>
        <w:rPr>
          <w:bCs/>
          <w:b/>
        </w:rPr>
        <w:t xml:space="preserve">Contact:</w:t>
      </w:r>
      <w:r>
        <w:t xml:space="preserve"> </w:t>
      </w:r>
      <w:r>
        <w:t xml:space="preserve">[Client Contact Person]</w:t>
      </w:r>
    </w:p>
    <w:p>
      <w:pPr>
        <w:pStyle w:val="BodyText"/>
      </w:pPr>
      <w:r>
        <w:rPr>
          <w:bCs/>
          <w:b/>
        </w:rPr>
        <w:t xml:space="preserve">Email:</w:t>
      </w:r>
      <w:r>
        <w:t xml:space="preserve"> </w:t>
      </w:r>
      <w:r>
        <w:t xml:space="preserve">[client@email.com]</w:t>
      </w:r>
    </w:p>
    <w:p>
      <w:pPr>
        <w:pStyle w:val="BodyText"/>
      </w:pPr>
      <w:r>
        <w:rPr>
          <w:bCs/>
          <w:b/>
        </w:rPr>
        <w:t xml:space="preserve">NIF/CIF:</w:t>
      </w:r>
      <w:r>
        <w:t xml:space="preserve"> </w:t>
      </w:r>
      <w:r>
        <w:t xml:space="preserve">[Client Tax ID]</w:t>
      </w:r>
    </w:p>
    <w:bookmarkEnd w:id="22"/>
    <w:bookmarkStart w:id="23" w:name="project-overview"/>
    <w:p>
      <w:pPr>
        <w:pStyle w:val="Heading2"/>
      </w:pPr>
      <w:r>
        <w:t xml:space="preserve">Project Overview</w:t>
      </w:r>
    </w:p>
    <w:p>
      <w:pPr>
        <w:pStyle w:val="FirstParagraph"/>
      </w:pPr>
      <w:r>
        <w:t xml:space="preserve">This Quotation Estimate has been prepared by Barcelona Digital Studio S.L. to provide a comprehensive and transparent breakdown of costs associated with the engagement of a professional Web Designer for the development, design, and deployment of a fully responsive corporate website. This Quotation Estimate is specifically tailored for clients operating within the Spain Barcelona metropolitan area and reflects the local market rates, regulatory requirements, and professional standards applicable to digital design services in this region. As a Web Designer operating in Spain Barcelona, we adhere to the highest standards of user experience, accessibility compliance (WCAG 2.1), and adherence to the Spanish General Data Protection Regulation (RGPD) as well as the EU General Data Protection Regulation (GDPR).</w:t>
      </w:r>
    </w:p>
    <w:p>
      <w:pPr>
        <w:pStyle w:val="BodyText"/>
      </w:pPr>
      <w:r>
        <w:t xml:space="preserve">The scope of this Quotation Estimate covers the complete lifecycle of the web design project, from initial consultation and wireframing through to final deployment and post-launch support. Our Web Designer team in Spain Barcelona brings over twelve years of combined experience in crafting digital experiences for businesses ranging from boutique hospitality establishments in the Gothic Quarter to large-scale technology firms in the 22@ innovation district. This Quotation Estimate ensures full transparency regarding deliverables, timelines, and associated costs so that the client may make an informed decision regarding the engagement.</w:t>
      </w:r>
    </w:p>
    <w:bookmarkEnd w:id="23"/>
    <w:bookmarkStart w:id="24" w:name="scope-of-work-line-items"/>
    <w:p>
      <w:pPr>
        <w:pStyle w:val="Heading2"/>
      </w:pPr>
      <w:r>
        <w:t xml:space="preserve">Scope of Work &amp; Line Items</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Service / Deliverable</w:t>
            </w:r>
          </w:p>
        </w:tc>
        <w:tc>
          <w:tcPr/>
          <w:p>
            <w:pPr>
              <w:pStyle w:val="Compact"/>
              <w:jc w:val="left"/>
            </w:pPr>
            <w:r>
              <w:t xml:space="preserve">Description</w:t>
            </w:r>
          </w:p>
        </w:tc>
        <w:tc>
          <w:tcPr/>
          <w:p>
            <w:pPr>
              <w:pStyle w:val="Compact"/>
              <w:jc w:val="left"/>
            </w:pPr>
            <w:r>
              <w:t xml:space="preserve">Hours</w:t>
            </w:r>
          </w:p>
        </w:tc>
        <w:tc>
          <w:tcPr/>
          <w:p>
            <w:pPr>
              <w:pStyle w:val="Compact"/>
              <w:jc w:val="left"/>
            </w:pPr>
            <w:r>
              <w:t xml:space="preserve">Rate (EUR)</w:t>
            </w:r>
          </w:p>
        </w:tc>
        <w:tc>
          <w:tcPr/>
          <w:p>
            <w:pPr>
              <w:pStyle w:val="Compact"/>
              <w:jc w:val="left"/>
            </w:pPr>
            <w:r>
              <w:t xml:space="preserve">Amount (EUR)</w:t>
            </w:r>
          </w:p>
        </w:tc>
      </w:tr>
      <w:tr>
        <w:tc>
          <w:tcPr/>
          <w:p>
            <w:pPr>
              <w:pStyle w:val="Compact"/>
              <w:jc w:val="left"/>
            </w:pPr>
            <w:r>
              <w:t xml:space="preserve">1</w:t>
            </w:r>
          </w:p>
        </w:tc>
        <w:tc>
          <w:tcPr/>
          <w:p>
            <w:pPr>
              <w:pStyle w:val="Compact"/>
              <w:jc w:val="left"/>
            </w:pPr>
            <w:r>
              <w:t xml:space="preserve">Discovery &amp; Strategy Session</w:t>
            </w:r>
          </w:p>
        </w:tc>
        <w:tc>
          <w:tcPr/>
          <w:p>
            <w:pPr>
              <w:pStyle w:val="Compact"/>
              <w:jc w:val="left"/>
            </w:pPr>
            <w:r>
              <w:t xml:space="preserve">Initial consultation in Barcelona office or remote; competitor analysis; user persona development</w:t>
            </w:r>
          </w:p>
        </w:tc>
        <w:tc>
          <w:tcPr/>
          <w:p>
            <w:pPr>
              <w:pStyle w:val="Compact"/>
              <w:jc w:val="left"/>
            </w:pPr>
            <w:r>
              <w:t xml:space="preserve">8</w:t>
            </w:r>
          </w:p>
        </w:tc>
        <w:tc>
          <w:tcPr/>
          <w:p>
            <w:pPr>
              <w:pStyle w:val="Compact"/>
              <w:jc w:val="left"/>
            </w:pPr>
            <w:r>
              <w:t xml:space="preserve">65.00</w:t>
            </w:r>
          </w:p>
        </w:tc>
        <w:tc>
          <w:tcPr/>
          <w:p>
            <w:pPr>
              <w:pStyle w:val="Compact"/>
              <w:jc w:val="left"/>
            </w:pPr>
            <w:r>
              <w:t xml:space="preserve">520.00</w:t>
            </w:r>
          </w:p>
        </w:tc>
      </w:tr>
      <w:tr>
        <w:tc>
          <w:tcPr/>
          <w:p>
            <w:pPr>
              <w:pStyle w:val="Compact"/>
              <w:jc w:val="left"/>
            </w:pPr>
            <w:r>
              <w:t xml:space="preserve">2</w:t>
            </w:r>
          </w:p>
        </w:tc>
        <w:tc>
          <w:tcPr/>
          <w:p>
            <w:pPr>
              <w:pStyle w:val="Compact"/>
              <w:jc w:val="left"/>
            </w:pPr>
            <w:r>
              <w:t xml:space="preserve">Wireframing &amp; UX Architecture</w:t>
            </w:r>
          </w:p>
        </w:tc>
        <w:tc>
          <w:tcPr/>
          <w:p>
            <w:pPr>
              <w:pStyle w:val="Compact"/>
              <w:jc w:val="left"/>
            </w:pPr>
            <w:r>
              <w:t xml:space="preserve">Sitemap creation, low-fidelity wireframes for up to 12 pages, user flow diagrams</w:t>
            </w:r>
          </w:p>
        </w:tc>
        <w:tc>
          <w:tcPr/>
          <w:p>
            <w:pPr>
              <w:pStyle w:val="Compact"/>
              <w:jc w:val="left"/>
            </w:pPr>
            <w:r>
              <w:t xml:space="preserve">24</w:t>
            </w:r>
          </w:p>
        </w:tc>
        <w:tc>
          <w:tcPr/>
          <w:p>
            <w:pPr>
              <w:pStyle w:val="Compact"/>
              <w:jc w:val="left"/>
            </w:pPr>
            <w:r>
              <w:t xml:space="preserve">65.00</w:t>
            </w:r>
          </w:p>
        </w:tc>
        <w:tc>
          <w:tcPr/>
          <w:p>
            <w:pPr>
              <w:pStyle w:val="Compact"/>
              <w:jc w:val="left"/>
            </w:pPr>
            <w:r>
              <w:t xml:space="preserve">1,560.00</w:t>
            </w:r>
          </w:p>
        </w:tc>
      </w:tr>
      <w:tr>
        <w:tc>
          <w:tcPr/>
          <w:p>
            <w:pPr>
              <w:pStyle w:val="Compact"/>
              <w:jc w:val="left"/>
            </w:pPr>
            <w:r>
              <w:t xml:space="preserve">3</w:t>
            </w:r>
          </w:p>
        </w:tc>
        <w:tc>
          <w:tcPr/>
          <w:p>
            <w:pPr>
              <w:pStyle w:val="Compact"/>
              <w:jc w:val="left"/>
            </w:pPr>
            <w:r>
              <w:t xml:space="preserve">UI Design &amp; Visual Identity</w:t>
            </w:r>
          </w:p>
        </w:tc>
        <w:tc>
          <w:tcPr/>
          <w:p>
            <w:pPr>
              <w:pStyle w:val="Compact"/>
              <w:jc w:val="left"/>
            </w:pPr>
            <w:r>
              <w:t xml:space="preserve">High-fidelity mockups, colour palette, typography system, brand-aligned design language</w:t>
            </w:r>
          </w:p>
        </w:tc>
        <w:tc>
          <w:tcPr/>
          <w:p>
            <w:pPr>
              <w:pStyle w:val="Compact"/>
              <w:jc w:val="left"/>
            </w:pPr>
            <w:r>
              <w:t xml:space="preserve">40</w:t>
            </w:r>
          </w:p>
        </w:tc>
        <w:tc>
          <w:tcPr/>
          <w:p>
            <w:pPr>
              <w:pStyle w:val="Compact"/>
              <w:jc w:val="left"/>
            </w:pPr>
            <w:r>
              <w:t xml:space="preserve">70.00</w:t>
            </w:r>
          </w:p>
        </w:tc>
        <w:tc>
          <w:tcPr/>
          <w:p>
            <w:pPr>
              <w:pStyle w:val="Compact"/>
              <w:jc w:val="left"/>
            </w:pPr>
            <w:r>
              <w:t xml:space="preserve">2,800.00</w:t>
            </w:r>
          </w:p>
        </w:tc>
      </w:tr>
      <w:tr>
        <w:tc>
          <w:tcPr/>
          <w:p>
            <w:pPr>
              <w:pStyle w:val="Compact"/>
              <w:jc w:val="left"/>
            </w:pPr>
            <w:r>
              <w:t xml:space="preserve">4</w:t>
            </w:r>
          </w:p>
        </w:tc>
        <w:tc>
          <w:tcPr/>
          <w:p>
            <w:pPr>
              <w:pStyle w:val="Compact"/>
              <w:jc w:val="left"/>
            </w:pPr>
            <w:r>
              <w:t xml:space="preserve">Front-End Development</w:t>
            </w:r>
          </w:p>
        </w:tc>
        <w:tc>
          <w:tcPr/>
          <w:p>
            <w:pPr>
              <w:pStyle w:val="Compact"/>
              <w:jc w:val="left"/>
            </w:pPr>
            <w:r>
              <w:t xml:space="preserve">Responsive HTML5/CSS3/JavaScript build; cross-browser compatibility; mobile-first approach</w:t>
            </w:r>
          </w:p>
        </w:tc>
        <w:tc>
          <w:tcPr/>
          <w:p>
            <w:pPr>
              <w:pStyle w:val="Compact"/>
              <w:jc w:val="left"/>
            </w:pPr>
            <w:r>
              <w:t xml:space="preserve">60</w:t>
            </w:r>
          </w:p>
        </w:tc>
        <w:tc>
          <w:tcPr/>
          <w:p>
            <w:pPr>
              <w:pStyle w:val="Compact"/>
              <w:jc w:val="left"/>
            </w:pPr>
            <w:r>
              <w:t xml:space="preserve">70.00</w:t>
            </w:r>
          </w:p>
        </w:tc>
        <w:tc>
          <w:tcPr/>
          <w:p>
            <w:pPr>
              <w:pStyle w:val="Compact"/>
              <w:jc w:val="left"/>
            </w:pPr>
            <w:r>
              <w:t xml:space="preserve">4,200.00</w:t>
            </w:r>
          </w:p>
        </w:tc>
      </w:tr>
      <w:tr>
        <w:tc>
          <w:tcPr/>
          <w:p>
            <w:pPr>
              <w:pStyle w:val="Compact"/>
              <w:jc w:val="left"/>
            </w:pPr>
            <w:r>
              <w:t xml:space="preserve">5</w:t>
            </w:r>
          </w:p>
        </w:tc>
        <w:tc>
          <w:tcPr/>
          <w:p>
            <w:pPr>
              <w:pStyle w:val="Compact"/>
              <w:jc w:val="left"/>
            </w:pPr>
            <w:r>
              <w:t xml:space="preserve">Back-End &amp; CMS Integration</w:t>
            </w:r>
          </w:p>
        </w:tc>
        <w:tc>
          <w:tcPr/>
          <w:p>
            <w:pPr>
              <w:pStyle w:val="Compact"/>
              <w:jc w:val="left"/>
            </w:pPr>
            <w:r>
              <w:t xml:space="preserve">WordPress or custom CMS setup; database configuration; admin panel customisation</w:t>
            </w:r>
          </w:p>
        </w:tc>
        <w:tc>
          <w:tcPr/>
          <w:p>
            <w:pPr>
              <w:pStyle w:val="Compact"/>
              <w:jc w:val="left"/>
            </w:pPr>
            <w:r>
              <w:t xml:space="preserve">32</w:t>
            </w:r>
          </w:p>
        </w:tc>
        <w:tc>
          <w:tcPr/>
          <w:p>
            <w:pPr>
              <w:pStyle w:val="Compact"/>
              <w:jc w:val="left"/>
            </w:pPr>
            <w:r>
              <w:t xml:space="preserve">75.00</w:t>
            </w:r>
          </w:p>
        </w:tc>
        <w:tc>
          <w:tcPr/>
          <w:p>
            <w:pPr>
              <w:pStyle w:val="Compact"/>
              <w:jc w:val="left"/>
            </w:pPr>
            <w:r>
              <w:t xml:space="preserve">2,400.00</w:t>
            </w:r>
          </w:p>
        </w:tc>
      </w:tr>
      <w:tr>
        <w:tc>
          <w:tcPr/>
          <w:p>
            <w:pPr>
              <w:pStyle w:val="Compact"/>
              <w:jc w:val="left"/>
            </w:pPr>
            <w:r>
              <w:t xml:space="preserve">6</w:t>
            </w:r>
          </w:p>
        </w:tc>
        <w:tc>
          <w:tcPr/>
          <w:p>
            <w:pPr>
              <w:pStyle w:val="Compact"/>
              <w:jc w:val="left"/>
            </w:pPr>
            <w:r>
              <w:t xml:space="preserve">SEO &amp; Performance Optimisation</w:t>
            </w:r>
          </w:p>
        </w:tc>
        <w:tc>
          <w:tcPr/>
          <w:p>
            <w:pPr>
              <w:pStyle w:val="Compact"/>
              <w:jc w:val="left"/>
            </w:pPr>
            <w:r>
              <w:t xml:space="preserve">On-page SEO for Spain Barcelona local market; Core Web Vitals optimisation; schema markup</w:t>
            </w:r>
          </w:p>
        </w:tc>
        <w:tc>
          <w:tcPr/>
          <w:p>
            <w:pPr>
              <w:pStyle w:val="Compact"/>
              <w:jc w:val="left"/>
            </w:pPr>
            <w:r>
              <w:t xml:space="preserve">16</w:t>
            </w:r>
          </w:p>
        </w:tc>
        <w:tc>
          <w:tcPr/>
          <w:p>
            <w:pPr>
              <w:pStyle w:val="Compact"/>
              <w:jc w:val="left"/>
            </w:pPr>
            <w:r>
              <w:t xml:space="preserve">70.00</w:t>
            </w:r>
          </w:p>
        </w:tc>
        <w:tc>
          <w:tcPr/>
          <w:p>
            <w:pPr>
              <w:pStyle w:val="Compact"/>
              <w:jc w:val="left"/>
            </w:pPr>
            <w:r>
              <w:t xml:space="preserve">1,120.00</w:t>
            </w:r>
          </w:p>
        </w:tc>
      </w:tr>
      <w:tr>
        <w:tc>
          <w:tcPr/>
          <w:p>
            <w:pPr>
              <w:pStyle w:val="Compact"/>
              <w:jc w:val="left"/>
            </w:pPr>
            <w:r>
              <w:t xml:space="preserve">7</w:t>
            </w:r>
          </w:p>
        </w:tc>
        <w:tc>
          <w:tcPr/>
          <w:p>
            <w:pPr>
              <w:pStyle w:val="Compact"/>
              <w:jc w:val="left"/>
            </w:pPr>
            <w:r>
              <w:t xml:space="preserve">RGPD / GDPR Compliance</w:t>
            </w:r>
          </w:p>
        </w:tc>
        <w:tc>
          <w:tcPr/>
          <w:p>
            <w:pPr>
              <w:pStyle w:val="Compact"/>
              <w:jc w:val="left"/>
            </w:pPr>
            <w:r>
              <w:t xml:space="preserve">Cookie consent management; privacy policy drafting; data processing agreements</w:t>
            </w:r>
          </w:p>
        </w:tc>
        <w:tc>
          <w:tcPr/>
          <w:p>
            <w:pPr>
              <w:pStyle w:val="Compact"/>
              <w:jc w:val="left"/>
            </w:pPr>
            <w:r>
              <w:t xml:space="preserve">12</w:t>
            </w:r>
          </w:p>
        </w:tc>
        <w:tc>
          <w:tcPr/>
          <w:p>
            <w:pPr>
              <w:pStyle w:val="Compact"/>
              <w:jc w:val="left"/>
            </w:pPr>
            <w:r>
              <w:t xml:space="preserve">75.00</w:t>
            </w:r>
          </w:p>
        </w:tc>
        <w:tc>
          <w:tcPr/>
          <w:p>
            <w:pPr>
              <w:pStyle w:val="Compact"/>
              <w:jc w:val="left"/>
            </w:pPr>
            <w:r>
              <w:t xml:space="preserve">900.00</w:t>
            </w:r>
          </w:p>
        </w:tc>
      </w:tr>
      <w:tr>
        <w:tc>
          <w:tcPr/>
          <w:p>
            <w:pPr>
              <w:pStyle w:val="Compact"/>
              <w:jc w:val="left"/>
            </w:pPr>
            <w:r>
              <w:t xml:space="preserve">8</w:t>
            </w:r>
          </w:p>
        </w:tc>
        <w:tc>
          <w:tcPr/>
          <w:p>
            <w:pPr>
              <w:pStyle w:val="Compact"/>
              <w:jc w:val="left"/>
            </w:pPr>
            <w:r>
              <w:t xml:space="preserve">Testing, QA &amp; Deployment</w:t>
            </w:r>
          </w:p>
        </w:tc>
        <w:tc>
          <w:tcPr/>
          <w:p>
            <w:pPr>
              <w:pStyle w:val="Compact"/>
              <w:jc w:val="left"/>
            </w:pPr>
            <w:r>
              <w:t xml:space="preserve">Multi-device testing; accessibility audit; staging to production migration; DNS configuration</w:t>
            </w:r>
          </w:p>
        </w:tc>
        <w:tc>
          <w:tcPr/>
          <w:p>
            <w:pPr>
              <w:pStyle w:val="Compact"/>
              <w:jc w:val="left"/>
            </w:pPr>
            <w:r>
              <w:t xml:space="preserve">16</w:t>
            </w:r>
          </w:p>
        </w:tc>
        <w:tc>
          <w:tcPr/>
          <w:p>
            <w:pPr>
              <w:pStyle w:val="Compact"/>
              <w:jc w:val="left"/>
            </w:pPr>
            <w:r>
              <w:t xml:space="preserve">65.00</w:t>
            </w:r>
          </w:p>
        </w:tc>
        <w:tc>
          <w:tcPr/>
          <w:p>
            <w:pPr>
              <w:pStyle w:val="Compact"/>
              <w:jc w:val="left"/>
            </w:pPr>
            <w:r>
              <w:t xml:space="preserve">1,040.00</w:t>
            </w:r>
          </w:p>
        </w:tc>
      </w:tr>
      <w:tr>
        <w:tc>
          <w:tcPr/>
          <w:p>
            <w:pPr>
              <w:pStyle w:val="Compact"/>
              <w:jc w:val="left"/>
            </w:pPr>
            <w:r>
              <w:t xml:space="preserve">9</w:t>
            </w:r>
          </w:p>
        </w:tc>
        <w:tc>
          <w:tcPr/>
          <w:p>
            <w:pPr>
              <w:pStyle w:val="Compact"/>
              <w:jc w:val="left"/>
            </w:pPr>
            <w:r>
              <w:t xml:space="preserve">Post-Launch Support (3 months)</w:t>
            </w:r>
          </w:p>
        </w:tc>
        <w:tc>
          <w:tcPr/>
          <w:p>
            <w:pPr>
              <w:pStyle w:val="Compact"/>
              <w:jc w:val="left"/>
            </w:pPr>
            <w:r>
              <w:t xml:space="preserve">Minor revisions, bug fixes, content updates, and technical support</w:t>
            </w:r>
          </w:p>
        </w:tc>
        <w:tc>
          <w:tcPr/>
          <w:p>
            <w:pPr>
              <w:pStyle w:val="Compact"/>
              <w:jc w:val="left"/>
            </w:pPr>
            <w:r>
              <w:t xml:space="preserve">24</w:t>
            </w:r>
          </w:p>
        </w:tc>
        <w:tc>
          <w:tcPr/>
          <w:p>
            <w:pPr>
              <w:pStyle w:val="Compact"/>
              <w:jc w:val="left"/>
            </w:pPr>
            <w:r>
              <w:t xml:space="preserve">55.00</w:t>
            </w:r>
          </w:p>
        </w:tc>
        <w:tc>
          <w:tcPr/>
          <w:p>
            <w:pPr>
              <w:pStyle w:val="Compact"/>
              <w:jc w:val="left"/>
            </w:pPr>
            <w:r>
              <w:t xml:space="preserve">1,320.00</w:t>
            </w:r>
          </w:p>
        </w:tc>
      </w:tr>
      <w:tr>
        <w:tc>
          <w:tcPr>
            <w:gridSpan w:val="5"/>
          </w:tcPr>
          <w:p>
            <w:pPr>
              <w:pStyle w:val="Compact"/>
              <w:jc w:val="right"/>
            </w:pPr>
            <w:r>
              <w:t xml:space="preserve">Subtotal</w:t>
            </w:r>
          </w:p>
        </w:tc>
        <w:tc>
          <w:tcPr/>
          <w:p>
            <w:pPr>
              <w:pStyle w:val="Compact"/>
              <w:jc w:val="left"/>
            </w:pPr>
            <w:r>
              <w:t xml:space="preserve">15,860.00</w:t>
            </w:r>
          </w:p>
        </w:tc>
      </w:tr>
      <w:tr>
        <w:tc>
          <w:tcPr>
            <w:gridSpan w:val="5"/>
          </w:tcPr>
          <w:p>
            <w:pPr>
              <w:pStyle w:val="Compact"/>
              <w:jc w:val="right"/>
            </w:pPr>
            <w:r>
              <w:t xml:space="preserve">VAT (IVA) — 21% (Spain)</w:t>
            </w:r>
          </w:p>
        </w:tc>
        <w:tc>
          <w:tcPr/>
          <w:p>
            <w:pPr>
              <w:pStyle w:val="Compact"/>
              <w:jc w:val="left"/>
            </w:pPr>
            <w:r>
              <w:t xml:space="preserve">3,330.60</w:t>
            </w:r>
          </w:p>
        </w:tc>
      </w:tr>
      <w:tr>
        <w:tc>
          <w:tcPr>
            <w:gridSpan w:val="5"/>
          </w:tcPr>
          <w:p>
            <w:pPr>
              <w:pStyle w:val="Compact"/>
              <w:jc w:val="right"/>
            </w:pPr>
            <w:r>
              <w:t xml:space="preserve">TOTAL (EUR)</w:t>
            </w:r>
          </w:p>
        </w:tc>
        <w:tc>
          <w:tcPr/>
          <w:p>
            <w:pPr>
              <w:pStyle w:val="Compact"/>
              <w:jc w:val="left"/>
            </w:pPr>
            <w:r>
              <w:t xml:space="preserve">19,190.60</w:t>
            </w:r>
          </w:p>
        </w:tc>
      </w:tr>
    </w:tbl>
    <w:bookmarkEnd w:id="24"/>
    <w:bookmarkStart w:id="25" w:name="terms-conditions"/>
    <w:p>
      <w:pPr>
        <w:pStyle w:val="Heading2"/>
      </w:pPr>
      <w:r>
        <w:t xml:space="preserve">Terms &amp; Conditions</w:t>
      </w:r>
    </w:p>
    <w:p>
      <w:pPr>
        <w:numPr>
          <w:ilvl w:val="0"/>
          <w:numId w:val="1001"/>
        </w:numPr>
        <w:pStyle w:val="Compact"/>
      </w:pPr>
      <w:r>
        <w:rPr>
          <w:bCs/>
          <w:b/>
        </w:rPr>
        <w:t xml:space="preserve">Validity:</w:t>
      </w:r>
      <w:r>
        <w:t xml:space="preserve"> </w:t>
      </w:r>
      <w:r>
        <w:t xml:space="preserve">This Quotation Estimate is valid for a period of thirty (30) calendar days from the date of issue. After this period, pricing may be subject to revision due to market fluctuations in the Spain Barcelona digital services sector.</w:t>
      </w:r>
    </w:p>
    <w:p>
      <w:pPr>
        <w:numPr>
          <w:ilvl w:val="0"/>
          <w:numId w:val="1001"/>
        </w:numPr>
        <w:pStyle w:val="Compact"/>
      </w:pPr>
      <w:r>
        <w:rPr>
          <w:bCs/>
          <w:b/>
        </w:rPr>
        <w:t xml:space="preserve">Payment Schedule:</w:t>
      </w:r>
      <w:r>
        <w:t xml:space="preserve"> </w:t>
      </w:r>
      <w:r>
        <w:t xml:space="preserve">40% upon acceptance of this Quotation Estimate, 40% upon completion of the UI Design phase, and 20% upon final deployment. All payments are due within fourteen (14) days of invoice date via bank transfer to the account held by Barcelona Digital Studio S.L.</w:t>
      </w:r>
    </w:p>
    <w:p>
      <w:pPr>
        <w:numPr>
          <w:ilvl w:val="0"/>
          <w:numId w:val="1001"/>
        </w:numPr>
        <w:pStyle w:val="Compact"/>
      </w:pPr>
      <w:r>
        <w:rPr>
          <w:bCs/>
          <w:b/>
        </w:rPr>
        <w:t xml:space="preserve">Revisions:</w:t>
      </w:r>
      <w:r>
        <w:t xml:space="preserve"> </w:t>
      </w:r>
      <w:r>
        <w:t xml:space="preserve">The Quotation Estimate includes two (2) rounds of revisions per design phase. Additional revision cycles will be billed at the applicable hourly rate specified in the line items above.</w:t>
      </w:r>
    </w:p>
    <w:p>
      <w:pPr>
        <w:numPr>
          <w:ilvl w:val="0"/>
          <w:numId w:val="1001"/>
        </w:numPr>
        <w:pStyle w:val="Compact"/>
      </w:pPr>
      <w:r>
        <w:rPr>
          <w:bCs/>
          <w:b/>
        </w:rPr>
        <w:t xml:space="preserve">Intellectual Property:</w:t>
      </w:r>
      <w:r>
        <w:t xml:space="preserve"> </w:t>
      </w:r>
      <w:r>
        <w:t xml:space="preserve">Upon full payment, all design assets, source code, and deliverables produced by our Web Designer team become the exclusive property of the client. Barcelona Digital Studio S.L. retains the right to display the project in its professional portfolio.</w:t>
      </w:r>
    </w:p>
    <w:p>
      <w:pPr>
        <w:numPr>
          <w:ilvl w:val="0"/>
          <w:numId w:val="1001"/>
        </w:numPr>
        <w:pStyle w:val="Compact"/>
      </w:pPr>
      <w:r>
        <w:rPr>
          <w:bCs/>
          <w:b/>
        </w:rPr>
        <w:t xml:space="preserve">Confidentiality:</w:t>
      </w:r>
      <w:r>
        <w:t xml:space="preserve"> </w:t>
      </w:r>
      <w:r>
        <w:t xml:space="preserve">Both parties agree to maintain strict confidentiality regarding all business information exchanged during the engagement, in accordance with Spanish commercial law (Código de Comercio).</w:t>
      </w:r>
    </w:p>
    <w:p>
      <w:pPr>
        <w:numPr>
          <w:ilvl w:val="0"/>
          <w:numId w:val="1001"/>
        </w:numPr>
        <w:pStyle w:val="Compact"/>
      </w:pPr>
      <w:r>
        <w:rPr>
          <w:bCs/>
          <w:b/>
        </w:rPr>
        <w:t xml:space="preserve">Force Majeure:</w:t>
      </w:r>
      <w:r>
        <w:t xml:space="preserve"> </w:t>
      </w:r>
      <w:r>
        <w:t xml:space="preserve">Neither party shall be liable for delays caused by events beyond reasonable control, including but not limited to natural disasters, government-mandated closures, or infrastructure failures affecting the Spain Barcelona region.</w:t>
      </w:r>
    </w:p>
    <w:p>
      <w:pPr>
        <w:numPr>
          <w:ilvl w:val="0"/>
          <w:numId w:val="1001"/>
        </w:numPr>
        <w:pStyle w:val="Compact"/>
      </w:pPr>
      <w:r>
        <w:rPr>
          <w:bCs/>
          <w:b/>
        </w:rPr>
        <w:t xml:space="preserve">Governing Law:</w:t>
      </w:r>
      <w:r>
        <w:t xml:space="preserve"> </w:t>
      </w:r>
      <w:r>
        <w:t xml:space="preserve">This Quotation Estimate and any resulting contract shall be governed by and interpreted in accordance with the laws of Spain. Any disputes shall be resolved through the competent courts of Barcelona, Spain.</w:t>
      </w:r>
    </w:p>
    <w:p>
      <w:pPr>
        <w:pStyle w:val="FirstParagraph"/>
      </w:pPr>
      <w:r>
        <w:rPr>
          <w:bCs/>
          <w:b/>
        </w:rPr>
        <w:t xml:space="preserve">Important Notice:</w:t>
      </w:r>
      <w:r>
        <w:t xml:space="preserve"> </w:t>
      </w:r>
      <w:r>
        <w:t xml:space="preserve">This Quotation Estimate is a non-binding document intended solely for the purpose of providing cost transparency. It does not constitute a contractual obligation until a formal service agreement is executed by both parties. All figures are quoted in Euros (EUR) and are inclusive of the applicable Spanish VAT (IVA) at the standard rate of 21%.</w:t>
      </w:r>
    </w:p>
    <w:bookmarkEnd w:id="25"/>
    <w:bookmarkStart w:id="26" w:name="acceptance"/>
    <w:p>
      <w:pPr>
        <w:pStyle w:val="Heading2"/>
      </w:pPr>
      <w:r>
        <w:t xml:space="preserve">Acceptance</w:t>
      </w:r>
    </w:p>
    <w:p>
      <w:pPr>
        <w:pStyle w:val="FirstParagraph"/>
      </w:pPr>
      <w:r>
        <w:t xml:space="preserve">By signing below, the client acknowledges receipt of this Quotation Estimate for Web Designer services in Spain Barcelona and agrees to the terms and conditions outlined herein. The project shall commence within five (5) business days of the receipt of the initial payment.</w:t>
      </w:r>
    </w:p>
    <w:p>
      <w:pPr>
        <w:pStyle w:val="BodyText"/>
      </w:pPr>
      <w:r>
        <w:rPr>
          <w:bCs/>
          <w:b/>
        </w:rPr>
        <w:t xml:space="preserve">For Barcelona Digital Studio S.L.</w:t>
      </w:r>
      <w:r>
        <w:br/>
      </w:r>
      <w:r>
        <w:t xml:space="preserve">Name: _________________________</w:t>
      </w:r>
      <w:r>
        <w:br/>
      </w:r>
      <w:r>
        <w:t xml:space="preserve">Title: Lead Web Designer</w:t>
      </w:r>
      <w:r>
        <w:br/>
      </w:r>
      <w:r>
        <w:t xml:space="preserve">Date: _________________________</w:t>
      </w:r>
    </w:p>
    <w:p>
      <w:pPr>
        <w:pStyle w:val="BodyText"/>
      </w:pPr>
      <w:r>
        <w:rPr>
          <w:bCs/>
          <w:b/>
        </w:rPr>
        <w:t xml:space="preserve">For the Client</w:t>
      </w:r>
      <w:r>
        <w:br/>
      </w:r>
      <w:r>
        <w:t xml:space="preserve">Name: _________________________</w:t>
      </w:r>
      <w:r>
        <w:br/>
      </w:r>
      <w:r>
        <w:t xml:space="preserve">Title: _________________________</w:t>
      </w:r>
      <w:r>
        <w:br/>
      </w:r>
      <w:r>
        <w:t xml:space="preserve">Date: _________________________</w:t>
      </w:r>
    </w:p>
    <w:p>
      <w:pPr>
        <w:pStyle w:val="BodyText"/>
      </w:pPr>
      <w:r>
        <w:t xml:space="preserve">Barcelona Digital Studio S.L. — Quotation Estimate QTE-BCN-2025-0472 — Web Designer Services — Spain Barcelona</w:t>
      </w:r>
    </w:p>
    <w:p>
      <w:pPr>
        <w:pStyle w:val="BodyText"/>
      </w:pPr>
      <w:r>
        <w:t xml:space="preserve">This document was generated on 15 June 2025. For queries regarding this Quotation Estimate, please contact quotes@barcelonadigitalstudio.es or call +34 93 214 5678.</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Web Designer Services - Spain Barcelona</dc:title>
  <dc:creator/>
  <dc:language>en</dc:language>
  <cp:keywords/>
  <dcterms:created xsi:type="dcterms:W3CDTF">2026-10-10T02:10:21Z</dcterms:created>
  <dcterms:modified xsi:type="dcterms:W3CDTF">2026-10-10T02:10:21Z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