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al-nakheel-industrial-services-w.l.l."/>
    <w:p>
      <w:pPr>
        <w:pStyle w:val="Heading1"/>
      </w:pPr>
      <w:r>
        <w:t xml:space="preserve">AL-NAKHEEL INDUSTRIAL SERVICES W.L.L.</w:t>
      </w:r>
    </w:p>
    <w:p>
      <w:pPr>
        <w:pStyle w:val="FirstParagraph"/>
      </w:pPr>
      <w:r>
        <w:t xml:space="preserve">P.O. Box 4521, Salmiya, Kuwait  |  Tel: +965 2244 8899  |  Email: info@alnakheel-industrial.kw</w:t>
      </w:r>
    </w:p>
    <w:p>
      <w:pPr>
        <w:pStyle w:val="BodyText"/>
      </w:pPr>
      <w:r>
        <w:t xml:space="preserve">Commercial Registration No. 118452  |  VAT No. 118452001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QTE-2025-KWT-0347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Project Location:</w:t>
      </w:r>
      <w:r>
        <w:t xml:space="preserve"> </w:t>
      </w:r>
      <w:r>
        <w:t xml:space="preserve">Kuwait, Kuwait City</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Gulf Construction &amp; Development Co. W.L.L.</w:t>
      </w:r>
    </w:p>
    <w:p>
      <w:pPr>
        <w:pStyle w:val="BodyText"/>
      </w:pPr>
      <w:r>
        <w:rPr>
          <w:bCs/>
          <w:b/>
        </w:rPr>
        <w:t xml:space="preserve">Attention:</w:t>
      </w:r>
      <w:r>
        <w:t xml:space="preserve"> </w:t>
      </w:r>
      <w:r>
        <w:t xml:space="preserve">Eng. Khalid Al-Mubarak, Project Manager</w:t>
      </w:r>
    </w:p>
    <w:p>
      <w:pPr>
        <w:pStyle w:val="BodyText"/>
      </w:pPr>
      <w:r>
        <w:rPr>
          <w:bCs/>
          <w:b/>
        </w:rPr>
        <w:t xml:space="preserve">Address:</w:t>
      </w:r>
      <w:r>
        <w:t xml:space="preserve"> </w:t>
      </w:r>
      <w:r>
        <w:t xml:space="preserve">Block 4, Street 12, Kuwait City, Kuwait</w:t>
      </w:r>
    </w:p>
    <w:p>
      <w:pPr>
        <w:pStyle w:val="BodyText"/>
      </w:pPr>
      <w:r>
        <w:rPr>
          <w:bCs/>
          <w:b/>
        </w:rPr>
        <w:t xml:space="preserve">Contact:</w:t>
      </w:r>
      <w:r>
        <w:t xml:space="preserve"> </w:t>
      </w:r>
      <w:r>
        <w:t xml:space="preserve">+965 9988 7766</w:t>
      </w:r>
    </w:p>
    <w:bookmarkEnd w:id="22"/>
    <w:p>
      <w:pPr>
        <w:pStyle w:val="BodyText"/>
      </w:pPr>
      <w:r>
        <w:t xml:space="preserve">Dear Eng. Khalid Al-Mubarak,</w:t>
      </w:r>
    </w:p>
    <w:p>
      <w:pPr>
        <w:pStyle w:val="BodyText"/>
      </w:pPr>
      <w:r>
        <w:t xml:space="preserve">Thank you for the opportunity to submit this</w:t>
      </w:r>
      <w:r>
        <w:t xml:space="preserve"> </w:t>
      </w:r>
      <w:r>
        <w:rPr>
          <w:bCs/>
          <w:b/>
        </w:rPr>
        <w:t xml:space="preserve">Quotation Estimate</w:t>
      </w:r>
      <w:r>
        <w:t xml:space="preserve"> </w:t>
      </w:r>
      <w:r>
        <w:t xml:space="preserve">for professional</w:t>
      </w:r>
      <w:r>
        <w:t xml:space="preserve"> </w:t>
      </w:r>
      <w:r>
        <w:rPr>
          <w:bCs/>
          <w:b/>
        </w:rPr>
        <w:t xml:space="preserve">Welder</w:t>
      </w:r>
      <w:r>
        <w:t xml:space="preserve"> </w:t>
      </w:r>
      <w:r>
        <w:t xml:space="preserve">services to be deployed at your construction and fabrication site located in</w:t>
      </w:r>
      <w:r>
        <w:t xml:space="preserve"> </w:t>
      </w:r>
      <w:r>
        <w:rPr>
          <w:bCs/>
          <w:b/>
        </w:rPr>
        <w:t xml:space="preserve">Kuwait, Kuwait City</w:t>
      </w:r>
      <w:r>
        <w:t xml:space="preserve">. Al-Nakheel Industrial Services W.L.L. is a fully licensed and certified industrial services provider operating across the State of Kuwait, and we are pleased to offer our qualified welding workforce and associated support services for your upcoming structural steel and piping fabrication project.</w:t>
      </w:r>
    </w:p>
    <w:p>
      <w:pPr>
        <w:pStyle w:val="BodyText"/>
      </w:pPr>
      <w:r>
        <w:t xml:space="preserve">This</w:t>
      </w:r>
      <w:r>
        <w:t xml:space="preserve"> </w:t>
      </w:r>
      <w:r>
        <w:rPr>
          <w:bCs/>
          <w:b/>
        </w:rPr>
        <w:t xml:space="preserve">Quotation Estimate</w:t>
      </w:r>
      <w:r>
        <w:t xml:space="preserve"> </w:t>
      </w:r>
      <w:r>
        <w:t xml:space="preserve">has been prepared in full compliance with Kuwaiti industrial safety regulations, the Kuwait Fire Force requirements, and the applicable standards set forth by the Kuwait Institute of Standards and Metrology (KIM). All</w:t>
      </w:r>
      <w:r>
        <w:t xml:space="preserve"> </w:t>
      </w:r>
      <w:r>
        <w:rPr>
          <w:bCs/>
          <w:b/>
        </w:rPr>
        <w:t xml:space="preserve">Welder</w:t>
      </w:r>
      <w:r>
        <w:t xml:space="preserve"> </w:t>
      </w:r>
      <w:r>
        <w:t xml:space="preserve">personnel assigned under this estimate hold valid certifications from the American Welding Society (AWS) and the International Institute of Welding (IIW), and possess the necessary work permits and civil defense approvals required to operate within</w:t>
      </w:r>
      <w:r>
        <w:t xml:space="preserve"> </w:t>
      </w:r>
      <w:r>
        <w:rPr>
          <w:bCs/>
          <w:b/>
        </w:rPr>
        <w:t xml:space="preserve">Kuwait, Kuwait City</w:t>
      </w:r>
      <w:r>
        <w:t xml:space="preserve">.</w:t>
      </w:r>
    </w:p>
    <w:bookmarkStart w:id="23" w:name="scope-of-work"/>
    <w:p>
      <w:pPr>
        <w:pStyle w:val="Heading2"/>
      </w:pPr>
      <w:r>
        <w:t xml:space="preserve">Scope of Work</w:t>
      </w:r>
    </w:p>
    <w:p>
      <w:pPr>
        <w:pStyle w:val="FirstParagraph"/>
      </w:pPr>
      <w:r>
        <w:t xml:space="preserve">The scope of this</w:t>
      </w:r>
      <w:r>
        <w:t xml:space="preserve"> </w:t>
      </w:r>
      <w:r>
        <w:rPr>
          <w:bCs/>
          <w:b/>
        </w:rPr>
        <w:t xml:space="preserve">Quotation Estimate</w:t>
      </w:r>
      <w:r>
        <w:t xml:space="preserve"> </w:t>
      </w:r>
      <w:r>
        <w:t xml:space="preserve">covers the provision of certified</w:t>
      </w:r>
      <w:r>
        <w:t xml:space="preserve"> </w:t>
      </w:r>
      <w:r>
        <w:rPr>
          <w:bCs/>
          <w:b/>
        </w:rPr>
        <w:t xml:space="preserve">Welder</w:t>
      </w:r>
      <w:r>
        <w:t xml:space="preserve"> </w:t>
      </w:r>
      <w:r>
        <w:t xml:space="preserve">personnel, welding consumables, portable welding equipment, and on-site supervision for a period of ninety (90) calendar days at the client's designated project site in</w:t>
      </w:r>
      <w:r>
        <w:t xml:space="preserve"> </w:t>
      </w:r>
      <w:r>
        <w:rPr>
          <w:bCs/>
          <w:b/>
        </w:rPr>
        <w:t xml:space="preserve">Kuwait, Kuwait City</w:t>
      </w:r>
      <w:r>
        <w:t xml:space="preserve">. The work includes but is not limited to structural steel fabrication, pipe welding (Schedule 40 and 80), stainless steel welding, and repair welding of existing infrastructure. All welding operations shall be conducted in accordance with AWS D1.1 and ASME Section IX standards.</w:t>
      </w:r>
    </w:p>
    <w:bookmarkEnd w:id="23"/>
    <w:bookmarkStart w:id="24" w:name="detailed-cost-breakdown"/>
    <w:p>
      <w:pPr>
        <w:pStyle w:val="Heading2"/>
      </w:pPr>
      <w:r>
        <w:t xml:space="preserve">Detailed Cost Breakdown</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Item /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(KWD)</w:t>
            </w:r>
          </w:p>
        </w:tc>
        <w:tc>
          <w:tcPr/>
          <w:p>
            <w:pPr>
              <w:pStyle w:val="Compact"/>
              <w:jc w:val="left"/>
            </w:pPr>
            <w:r>
              <w:t xml:space="preserve">Total (KWD)</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Senior Certified Welder (AWS D1.1, 6G Pipe &amp; Structural) – daily rate including PPE, tools, and site supervision</w:t>
            </w:r>
          </w:p>
        </w:tc>
        <w:tc>
          <w:tcPr/>
          <w:p>
            <w:pPr>
              <w:pStyle w:val="Compact"/>
              <w:jc w:val="left"/>
            </w:pPr>
            <w:r>
              <w:t xml:space="preserve">4</w:t>
            </w:r>
          </w:p>
        </w:tc>
        <w:tc>
          <w:tcPr/>
          <w:p>
            <w:pPr>
              <w:pStyle w:val="Compact"/>
              <w:jc w:val="left"/>
            </w:pPr>
            <w:r>
              <w:t xml:space="preserve">Person</w:t>
            </w:r>
          </w:p>
        </w:tc>
        <w:tc>
          <w:tcPr/>
          <w:p>
            <w:pPr>
              <w:pStyle w:val="Compact"/>
              <w:jc w:val="left"/>
            </w:pPr>
            <w:r>
              <w:t xml:space="preserve">38.50</w:t>
            </w:r>
          </w:p>
        </w:tc>
        <w:tc>
          <w:tcPr/>
          <w:p>
            <w:pPr>
              <w:pStyle w:val="Compact"/>
              <w:jc w:val="left"/>
            </w:pPr>
            <w:r>
              <w:t xml:space="preserve">13,860.00</w:t>
            </w:r>
          </w:p>
        </w:tc>
        <w:tc>
          <w:tcPr/>
          <w:p>
            <w:pPr>
              <w:pStyle w:val="Compact"/>
              <w:jc w:val="left"/>
            </w:pPr>
            <w:r>
              <w:t xml:space="preserve">90 days</w:t>
            </w:r>
          </w:p>
        </w:tc>
      </w:tr>
      <w:tr>
        <w:tc>
          <w:tcPr/>
          <w:p>
            <w:pPr>
              <w:pStyle w:val="Compact"/>
              <w:jc w:val="left"/>
            </w:pPr>
            <w:r>
              <w:t xml:space="preserve">2</w:t>
            </w:r>
          </w:p>
        </w:tc>
        <w:tc>
          <w:tcPr/>
          <w:p>
            <w:pPr>
              <w:pStyle w:val="Compact"/>
              <w:jc w:val="left"/>
            </w:pPr>
            <w:r>
              <w:t xml:space="preserve">Junior Welder (AWS D1.1, 3G &amp; 2G Structural) – daily rate including PPE and hand tools</w:t>
            </w:r>
          </w:p>
        </w:tc>
        <w:tc>
          <w:tcPr/>
          <w:p>
            <w:pPr>
              <w:pStyle w:val="Compact"/>
              <w:jc w:val="left"/>
            </w:pPr>
            <w:r>
              <w:t xml:space="preserve">6</w:t>
            </w:r>
          </w:p>
        </w:tc>
        <w:tc>
          <w:tcPr/>
          <w:p>
            <w:pPr>
              <w:pStyle w:val="Compact"/>
              <w:jc w:val="left"/>
            </w:pPr>
            <w:r>
              <w:t xml:space="preserve">Person</w:t>
            </w:r>
          </w:p>
        </w:tc>
        <w:tc>
          <w:tcPr/>
          <w:p>
            <w:pPr>
              <w:pStyle w:val="Compact"/>
              <w:jc w:val="left"/>
            </w:pPr>
            <w:r>
              <w:t xml:space="preserve">28.75</w:t>
            </w:r>
          </w:p>
        </w:tc>
        <w:tc>
          <w:tcPr/>
          <w:p>
            <w:pPr>
              <w:pStyle w:val="Compact"/>
              <w:jc w:val="left"/>
            </w:pPr>
            <w:r>
              <w:t xml:space="preserve">15,525.00</w:t>
            </w:r>
          </w:p>
        </w:tc>
        <w:tc>
          <w:tcPr/>
          <w:p>
            <w:pPr>
              <w:pStyle w:val="Compact"/>
              <w:jc w:val="left"/>
            </w:pPr>
            <w:r>
              <w:t xml:space="preserve">90 days</w:t>
            </w:r>
          </w:p>
        </w:tc>
      </w:tr>
      <w:tr>
        <w:tc>
          <w:tcPr/>
          <w:p>
            <w:pPr>
              <w:pStyle w:val="Compact"/>
              <w:jc w:val="left"/>
            </w:pPr>
            <w:r>
              <w:t xml:space="preserve">3</w:t>
            </w:r>
          </w:p>
        </w:tc>
        <w:tc>
          <w:tcPr/>
          <w:p>
            <w:pPr>
              <w:pStyle w:val="Compact"/>
              <w:jc w:val="left"/>
            </w:pPr>
            <w:r>
              <w:t xml:space="preserve">Welding Consumables – E7018 electrodes, ER70S-6 wire, TIG filler rods (308L, 316L), grinding discs, and gas (Argon/CO2 mix)</w:t>
            </w:r>
          </w:p>
        </w:tc>
        <w:tc>
          <w:tcPr/>
          <w:p>
            <w:pPr>
              <w:pStyle w:val="Compact"/>
              <w:jc w:val="left"/>
            </w:pPr>
            <w:r>
              <w:t xml:space="preserve">1</w:t>
            </w:r>
          </w:p>
        </w:tc>
        <w:tc>
          <w:tcPr/>
          <w:p>
            <w:pPr>
              <w:pStyle w:val="Compact"/>
              <w:jc w:val="left"/>
            </w:pPr>
            <w:r>
              <w:t xml:space="preserve">Lot</w:t>
            </w:r>
          </w:p>
        </w:tc>
        <w:tc>
          <w:tcPr/>
          <w:p>
            <w:pPr>
              <w:pStyle w:val="Compact"/>
              <w:jc w:val="left"/>
            </w:pPr>
            <w:r>
              <w:t xml:space="preserve">4,250.00</w:t>
            </w:r>
          </w:p>
        </w:tc>
        <w:tc>
          <w:tcPr/>
          <w:p>
            <w:pPr>
              <w:pStyle w:val="Compact"/>
              <w:jc w:val="left"/>
            </w:pPr>
            <w:r>
              <w:t xml:space="preserve">4,250.00</w:t>
            </w:r>
          </w:p>
        </w:tc>
        <w:tc>
          <w:tcPr/>
          <w:p>
            <w:pPr>
              <w:pStyle w:val="Compact"/>
              <w:jc w:val="left"/>
            </w:pPr>
            <w:r>
              <w:t xml:space="preserve">90 days</w:t>
            </w:r>
          </w:p>
        </w:tc>
      </w:tr>
      <w:tr>
        <w:tc>
          <w:tcPr/>
          <w:p>
            <w:pPr>
              <w:pStyle w:val="Compact"/>
              <w:jc w:val="left"/>
            </w:pPr>
            <w:r>
              <w:t xml:space="preserve">4</w:t>
            </w:r>
          </w:p>
        </w:tc>
        <w:tc>
          <w:tcPr/>
          <w:p>
            <w:pPr>
              <w:pStyle w:val="Compact"/>
              <w:jc w:val="left"/>
            </w:pPr>
            <w:r>
              <w:t xml:space="preserve">Portable Welding Equipment – 4 units of Miller XMT 350 MIG/TIG machines, 2 units of Lincoln Square Wave 350, 2 plasma cutters (Hypertec 80A)</w:t>
            </w:r>
          </w:p>
        </w:tc>
        <w:tc>
          <w:tcPr/>
          <w:p>
            <w:pPr>
              <w:pStyle w:val="Compact"/>
              <w:jc w:val="left"/>
            </w:pPr>
            <w:r>
              <w:t xml:space="preserve">8</w:t>
            </w:r>
          </w:p>
        </w:tc>
        <w:tc>
          <w:tcPr/>
          <w:p>
            <w:pPr>
              <w:pStyle w:val="Compact"/>
              <w:jc w:val="left"/>
            </w:pPr>
            <w:r>
              <w:t xml:space="preserve">Unit</w:t>
            </w:r>
          </w:p>
        </w:tc>
        <w:tc>
          <w:tcPr/>
          <w:p>
            <w:pPr>
              <w:pStyle w:val="Compact"/>
              <w:jc w:val="left"/>
            </w:pPr>
            <w:r>
              <w:t xml:space="preserve">185.00</w:t>
            </w:r>
          </w:p>
        </w:tc>
        <w:tc>
          <w:tcPr/>
          <w:p>
            <w:pPr>
              <w:pStyle w:val="Compact"/>
              <w:jc w:val="left"/>
            </w:pPr>
            <w:r>
              <w:t xml:space="preserve">1,480.00</w:t>
            </w:r>
          </w:p>
        </w:tc>
        <w:tc>
          <w:tcPr/>
          <w:p>
            <w:pPr>
              <w:pStyle w:val="Compact"/>
              <w:jc w:val="left"/>
            </w:pPr>
            <w:r>
              <w:t xml:space="preserve">90 days</w:t>
            </w:r>
          </w:p>
        </w:tc>
      </w:tr>
      <w:tr>
        <w:tc>
          <w:tcPr/>
          <w:p>
            <w:pPr>
              <w:pStyle w:val="Compact"/>
              <w:jc w:val="left"/>
            </w:pPr>
            <w:r>
              <w:t xml:space="preserve">5</w:t>
            </w:r>
          </w:p>
        </w:tc>
        <w:tc>
          <w:tcPr/>
          <w:p>
            <w:pPr>
              <w:pStyle w:val="Compact"/>
              <w:jc w:val="left"/>
            </w:pPr>
            <w:r>
              <w:t xml:space="preserve">Welding Positioner &amp; Rotator (2-ton capacity) for pipe fabrication – rental with operator</w:t>
            </w:r>
          </w:p>
        </w:tc>
        <w:tc>
          <w:tcPr/>
          <w:p>
            <w:pPr>
              <w:pStyle w:val="Compact"/>
              <w:jc w:val="left"/>
            </w:pPr>
            <w:r>
              <w:t xml:space="preserve">1</w:t>
            </w:r>
          </w:p>
        </w:tc>
        <w:tc>
          <w:tcPr/>
          <w:p>
            <w:pPr>
              <w:pStyle w:val="Compact"/>
              <w:jc w:val="left"/>
            </w:pPr>
            <w:r>
              <w:t xml:space="preserve">Unit</w:t>
            </w:r>
          </w:p>
        </w:tc>
        <w:tc>
          <w:tcPr/>
          <w:p>
            <w:pPr>
              <w:pStyle w:val="Compact"/>
              <w:jc w:val="left"/>
            </w:pPr>
            <w:r>
              <w:t xml:space="preserve">320.00</w:t>
            </w:r>
          </w:p>
        </w:tc>
        <w:tc>
          <w:tcPr/>
          <w:p>
            <w:pPr>
              <w:pStyle w:val="Compact"/>
              <w:jc w:val="left"/>
            </w:pPr>
            <w:r>
              <w:t xml:space="preserve">28,800.00</w:t>
            </w:r>
          </w:p>
        </w:tc>
        <w:tc>
          <w:tcPr/>
          <w:p>
            <w:pPr>
              <w:pStyle w:val="Compact"/>
              <w:jc w:val="left"/>
            </w:pPr>
            <w:r>
              <w:t xml:space="preserve">90 days</w:t>
            </w:r>
          </w:p>
        </w:tc>
      </w:tr>
      <w:tr>
        <w:tc>
          <w:tcPr/>
          <w:p>
            <w:pPr>
              <w:pStyle w:val="Compact"/>
              <w:jc w:val="left"/>
            </w:pPr>
            <w:r>
              <w:t xml:space="preserve">6</w:t>
            </w:r>
          </w:p>
        </w:tc>
        <w:tc>
          <w:tcPr/>
          <w:p>
            <w:pPr>
              <w:pStyle w:val="Compact"/>
              <w:jc w:val="left"/>
            </w:pPr>
            <w:r>
              <w:t xml:space="preserve">Non-Destructive Testing (NDT) – Visual Inspection (VT) and Magnetic Particle Inspection (MT) for all critical welds</w:t>
            </w:r>
          </w:p>
        </w:tc>
        <w:tc>
          <w:tcPr/>
          <w:p>
            <w:pPr>
              <w:pStyle w:val="Compact"/>
              <w:jc w:val="left"/>
            </w:pPr>
            <w:r>
              <w:t xml:space="preserve">1</w:t>
            </w:r>
          </w:p>
        </w:tc>
        <w:tc>
          <w:tcPr/>
          <w:p>
            <w:pPr>
              <w:pStyle w:val="Compact"/>
              <w:jc w:val="left"/>
            </w:pPr>
            <w:r>
              <w:t xml:space="preserve">Lot</w:t>
            </w:r>
          </w:p>
        </w:tc>
        <w:tc>
          <w:tcPr/>
          <w:p>
            <w:pPr>
              <w:pStyle w:val="Compact"/>
              <w:jc w:val="left"/>
            </w:pPr>
            <w:r>
              <w:t xml:space="preserve">3,600.00</w:t>
            </w:r>
          </w:p>
        </w:tc>
        <w:tc>
          <w:tcPr/>
          <w:p>
            <w:pPr>
              <w:pStyle w:val="Compact"/>
              <w:jc w:val="left"/>
            </w:pPr>
            <w:r>
              <w:t xml:space="preserve">3,600.00</w:t>
            </w:r>
          </w:p>
        </w:tc>
        <w:tc>
          <w:tcPr/>
          <w:p>
            <w:pPr>
              <w:pStyle w:val="Compact"/>
              <w:jc w:val="left"/>
            </w:pPr>
            <w:r>
              <w:t xml:space="preserve">90 days</w:t>
            </w:r>
          </w:p>
        </w:tc>
      </w:tr>
      <w:tr>
        <w:tc>
          <w:tcPr/>
          <w:p>
            <w:pPr>
              <w:pStyle w:val="Compact"/>
              <w:jc w:val="left"/>
            </w:pPr>
            <w:r>
              <w:t xml:space="preserve">7</w:t>
            </w:r>
          </w:p>
        </w:tc>
        <w:tc>
          <w:tcPr/>
          <w:p>
            <w:pPr>
              <w:pStyle w:val="Compact"/>
              <w:jc w:val="left"/>
            </w:pPr>
            <w:r>
              <w:t xml:space="preserve">Mobilization &amp; Demobilization – transport of equipment and personnel to/from site in Kuwait, Kuwait City</w:t>
            </w:r>
          </w:p>
        </w:tc>
        <w:tc>
          <w:tcPr/>
          <w:p>
            <w:pPr>
              <w:pStyle w:val="Compact"/>
              <w:jc w:val="left"/>
            </w:pPr>
            <w:r>
              <w:t xml:space="preserve">1</w:t>
            </w:r>
          </w:p>
        </w:tc>
        <w:tc>
          <w:tcPr/>
          <w:p>
            <w:pPr>
              <w:pStyle w:val="Compact"/>
              <w:jc w:val="left"/>
            </w:pPr>
            <w:r>
              <w:t xml:space="preserve">Lot</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One-time</w:t>
            </w:r>
          </w:p>
        </w:tc>
      </w:tr>
      <w:tr>
        <w:tc>
          <w:tcPr/>
          <w:p>
            <w:pPr>
              <w:pStyle w:val="Compact"/>
              <w:jc w:val="left"/>
            </w:pPr>
            <w:r>
              <w:t xml:space="preserve">8</w:t>
            </w:r>
          </w:p>
        </w:tc>
        <w:tc>
          <w:tcPr/>
          <w:p>
            <w:pPr>
              <w:pStyle w:val="Compact"/>
              <w:jc w:val="left"/>
            </w:pPr>
            <w:r>
              <w:t xml:space="preserve">Site Safety Officer &amp; Hot Work Permit Coordination – full-time safety supervision and Kuwait Fire Force permit processing</w:t>
            </w:r>
          </w:p>
        </w:tc>
        <w:tc>
          <w:tcPr/>
          <w:p>
            <w:pPr>
              <w:pStyle w:val="Compact"/>
              <w:jc w:val="left"/>
            </w:pPr>
            <w:r>
              <w:t xml:space="preserve">1</w:t>
            </w:r>
          </w:p>
        </w:tc>
        <w:tc>
          <w:tcPr/>
          <w:p>
            <w:pPr>
              <w:pStyle w:val="Compact"/>
              <w:jc w:val="left"/>
            </w:pPr>
            <w:r>
              <w:t xml:space="preserve">Person</w:t>
            </w:r>
          </w:p>
        </w:tc>
        <w:tc>
          <w:tcPr/>
          <w:p>
            <w:pPr>
              <w:pStyle w:val="Compact"/>
              <w:jc w:val="left"/>
            </w:pPr>
            <w:r>
              <w:t xml:space="preserve">32.00</w:t>
            </w:r>
          </w:p>
        </w:tc>
        <w:tc>
          <w:tcPr/>
          <w:p>
            <w:pPr>
              <w:pStyle w:val="Compact"/>
              <w:jc w:val="left"/>
            </w:pPr>
            <w:r>
              <w:t xml:space="preserve">2,880.00</w:t>
            </w:r>
          </w:p>
        </w:tc>
        <w:tc>
          <w:tcPr/>
          <w:p>
            <w:pPr>
              <w:pStyle w:val="Compact"/>
              <w:jc w:val="left"/>
            </w:pPr>
            <w:r>
              <w:t xml:space="preserve">90 days</w:t>
            </w:r>
          </w:p>
        </w:tc>
      </w:tr>
      <w:tr>
        <w:tc>
          <w:tcPr/>
          <w:p>
            <w:pPr>
              <w:pStyle w:val="Compact"/>
              <w:jc w:val="left"/>
            </w:pPr>
            <w:r>
              <w:t xml:space="preserve">9</w:t>
            </w:r>
          </w:p>
        </w:tc>
        <w:tc>
          <w:tcPr/>
          <w:p>
            <w:pPr>
              <w:pStyle w:val="Compact"/>
              <w:jc w:val="left"/>
            </w:pPr>
            <w:r>
              <w:t xml:space="preserve">Welding Procedure Specifications (WPS) &amp; Procedure Qualification Records (PQR) – preparation and documentation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One-time</w:t>
            </w:r>
          </w:p>
        </w:tc>
      </w:tr>
      <w:tr>
        <w:tc>
          <w:tcPr/>
          <w:p>
            <w:pPr>
              <w:pStyle w:val="Compact"/>
              <w:jc w:val="left"/>
            </w:pPr>
            <w:r>
              <w:t xml:space="preserve">10</w:t>
            </w:r>
          </w:p>
        </w:tc>
        <w:tc>
          <w:tcPr/>
          <w:p>
            <w:pPr>
              <w:pStyle w:val="Compact"/>
              <w:jc w:val="left"/>
            </w:pPr>
            <w:r>
              <w:t xml:space="preserve">Welding Fume Extraction &amp; Ventilation Units (portable, 4 units) for indoor/enclosed work areas</w:t>
            </w:r>
          </w:p>
        </w:tc>
        <w:tc>
          <w:tcPr/>
          <w:p>
            <w:pPr>
              <w:pStyle w:val="Compact"/>
              <w:jc w:val="left"/>
            </w:pPr>
            <w:r>
              <w:t xml:space="preserve">4</w:t>
            </w:r>
          </w:p>
        </w:tc>
        <w:tc>
          <w:tcPr/>
          <w:p>
            <w:pPr>
              <w:pStyle w:val="Compact"/>
              <w:jc w:val="left"/>
            </w:pPr>
            <w:r>
              <w:t xml:space="preserve">Unit</w:t>
            </w:r>
          </w:p>
        </w:tc>
        <w:tc>
          <w:tcPr/>
          <w:p>
            <w:pPr>
              <w:pStyle w:val="Compact"/>
              <w:jc w:val="left"/>
            </w:pPr>
            <w:r>
              <w:t xml:space="preserve">95.00</w:t>
            </w:r>
          </w:p>
        </w:tc>
        <w:tc>
          <w:tcPr/>
          <w:p>
            <w:pPr>
              <w:pStyle w:val="Compact"/>
              <w:jc w:val="left"/>
            </w:pPr>
            <w:r>
              <w:t xml:space="preserve">3,420.00</w:t>
            </w:r>
          </w:p>
        </w:tc>
        <w:tc>
          <w:tcPr/>
          <w:p>
            <w:pPr>
              <w:pStyle w:val="Compact"/>
              <w:jc w:val="left"/>
            </w:pPr>
            <w:r>
              <w:t xml:space="preserve">90 days</w:t>
            </w:r>
          </w:p>
        </w:tc>
      </w:tr>
      <w:tr>
        <w:tc>
          <w:tcPr>
            <w:gridSpan w:val="5"/>
          </w:tcPr>
          <w:p>
            <w:pPr>
              <w:pStyle w:val="Compact"/>
              <w:jc w:val="right"/>
            </w:pPr>
            <w:r>
              <w:t xml:space="preserve">Subtotal (KWD)</w:t>
            </w:r>
          </w:p>
        </w:tc>
        <w:tc>
          <w:tcPr/>
          <w:p>
            <w:pPr>
              <w:pStyle w:val="Compact"/>
              <w:jc w:val="left"/>
            </w:pPr>
            <w:r>
              <w:t xml:space="preserve">76,915.00</w:t>
            </w:r>
          </w:p>
        </w:tc>
        <w:tc>
          <w:tcPr/>
          <w:p>
            <w:pPr>
              <w:pStyle w:val="Compact"/>
            </w:pPr>
          </w:p>
        </w:tc>
      </w:tr>
      <w:tr>
        <w:tc>
          <w:tcPr>
            <w:gridSpan w:val="5"/>
          </w:tcPr>
          <w:p>
            <w:pPr>
              <w:pStyle w:val="Compact"/>
              <w:jc w:val="right"/>
            </w:pPr>
            <w:r>
              <w:t xml:space="preserve">VAT @ 5% (Kuwait – exempt for industrial services)</w:t>
            </w:r>
          </w:p>
        </w:tc>
        <w:tc>
          <w:tcPr/>
          <w:p>
            <w:pPr>
              <w:pStyle w:val="Compact"/>
              <w:jc w:val="left"/>
            </w:pPr>
            <w:r>
              <w:t xml:space="preserve">0.00</w:t>
            </w:r>
          </w:p>
        </w:tc>
        <w:tc>
          <w:tcPr/>
          <w:p>
            <w:pPr>
              <w:pStyle w:val="Compact"/>
            </w:pPr>
          </w:p>
        </w:tc>
      </w:tr>
      <w:tr>
        <w:tc>
          <w:tcPr>
            <w:gridSpan w:val="5"/>
          </w:tcPr>
          <w:p>
            <w:pPr>
              <w:pStyle w:val="Compact"/>
              <w:jc w:val="right"/>
            </w:pPr>
            <w:r>
              <w:t xml:space="preserve">GRAND TOTAL (KWD)</w:t>
            </w:r>
          </w:p>
        </w:tc>
        <w:tc>
          <w:tcPr/>
          <w:p>
            <w:pPr>
              <w:pStyle w:val="Compact"/>
              <w:jc w:val="left"/>
            </w:pPr>
            <w:r>
              <w:t xml:space="preserve">76,915.00</w:t>
            </w:r>
          </w:p>
        </w:tc>
        <w:tc>
          <w:tcPr/>
          <w:p>
            <w:pPr>
              <w:pStyle w:val="Compact"/>
            </w:pPr>
          </w:p>
        </w:tc>
      </w:tr>
    </w:tbl>
    <w:bookmarkEnd w:id="24"/>
    <w:bookmarkStart w:id="25" w:name="terms-and-conditions"/>
    <w:p>
      <w:pPr>
        <w:pStyle w:val="Heading2"/>
      </w:pPr>
      <w:r>
        <w:t xml:space="preserve">Terms and Conditions</w:t>
      </w:r>
    </w:p>
    <w:p>
      <w:pPr>
        <w:numPr>
          <w:ilvl w:val="0"/>
          <w:numId w:val="1001"/>
        </w:numPr>
        <w:pStyle w:val="Compact"/>
      </w:pPr>
      <w:r>
        <w:t xml:space="preserve">This</w:t>
      </w:r>
      <w:r>
        <w:t xml:space="preserve"> </w:t>
      </w:r>
      <w:r>
        <w:rPr>
          <w:bCs/>
          <w:b/>
        </w:rPr>
        <w:t xml:space="preserve">Quotation Estimate</w:t>
      </w:r>
      <w:r>
        <w:t xml:space="preserve"> </w:t>
      </w:r>
      <w:r>
        <w:t xml:space="preserve">is valid for a period of thirty (30) calendar days from the date of issue. Beyond this period, pricing may be subject to revision based on market conditions in</w:t>
      </w:r>
      <w:r>
        <w:t xml:space="preserve"> </w:t>
      </w:r>
      <w:r>
        <w:rPr>
          <w:bCs/>
          <w:b/>
        </w:rPr>
        <w:t xml:space="preserve">Kuwait, Kuwait City</w:t>
      </w:r>
      <w:r>
        <w:t xml:space="preserve">.</w:t>
      </w:r>
    </w:p>
    <w:p>
      <w:pPr>
        <w:numPr>
          <w:ilvl w:val="0"/>
          <w:numId w:val="1001"/>
        </w:numPr>
        <w:pStyle w:val="Compact"/>
      </w:pPr>
      <w:r>
        <w:t xml:space="preserve">All</w:t>
      </w:r>
      <w:r>
        <w:t xml:space="preserve"> </w:t>
      </w:r>
      <w:r>
        <w:rPr>
          <w:bCs/>
          <w:b/>
        </w:rPr>
        <w:t xml:space="preserve">Welder</w:t>
      </w:r>
      <w:r>
        <w:t xml:space="preserve"> </w:t>
      </w:r>
      <w:r>
        <w:t xml:space="preserve">personnel shall be provided with valid Kuwaiti work permits, civil defense cards, and medical fitness certificates prior to commencing work on site.</w:t>
      </w:r>
    </w:p>
    <w:p>
      <w:pPr>
        <w:numPr>
          <w:ilvl w:val="0"/>
          <w:numId w:val="1001"/>
        </w:numPr>
        <w:pStyle w:val="Compact"/>
      </w:pPr>
      <w:r>
        <w:t xml:space="preserve">The client shall provide a safe and accessible work environment, adequate lighting, and electrical power supply (3-phase, 380V) at the project location in</w:t>
      </w:r>
      <w:r>
        <w:t xml:space="preserve"> </w:t>
      </w:r>
      <w:r>
        <w:rPr>
          <w:bCs/>
          <w:b/>
        </w:rPr>
        <w:t xml:space="preserve">Kuwait, Kuwait City</w:t>
      </w:r>
      <w:r>
        <w:t xml:space="preserve">.</w:t>
      </w:r>
    </w:p>
    <w:p>
      <w:pPr>
        <w:numPr>
          <w:ilvl w:val="0"/>
          <w:numId w:val="1001"/>
        </w:numPr>
        <w:pStyle w:val="Compact"/>
      </w:pPr>
      <w:r>
        <w:t xml:space="preserve">Payment terms: 30% advance upon acceptance of this</w:t>
      </w:r>
      <w:r>
        <w:t xml:space="preserve"> </w:t>
      </w:r>
      <w:r>
        <w:rPr>
          <w:bCs/>
          <w:b/>
        </w:rPr>
        <w:t xml:space="preserve">Quotation Estimate</w:t>
      </w:r>
      <w:r>
        <w:t xml:space="preserve">, 40% upon completion of the first 45 days of service, and the remaining 30% upon successful completion and handover of all welding work.</w:t>
      </w:r>
    </w:p>
    <w:p>
      <w:pPr>
        <w:numPr>
          <w:ilvl w:val="0"/>
          <w:numId w:val="1001"/>
        </w:numPr>
        <w:pStyle w:val="Compact"/>
      </w:pPr>
      <w:r>
        <w:t xml:space="preserve">Any additional welding work beyond the scope defined herein shall be subject to a separate</w:t>
      </w:r>
      <w:r>
        <w:t xml:space="preserve"> </w:t>
      </w:r>
      <w:r>
        <w:rPr>
          <w:bCs/>
          <w:b/>
        </w:rPr>
        <w:t xml:space="preserve">Quotation Estimate</w:t>
      </w:r>
      <w:r>
        <w:t xml:space="preserve"> </w:t>
      </w:r>
      <w:r>
        <w:t xml:space="preserve">and written approval from both parties.</w:t>
      </w:r>
    </w:p>
    <w:p>
      <w:pPr>
        <w:numPr>
          <w:ilvl w:val="0"/>
          <w:numId w:val="1001"/>
        </w:numPr>
        <w:pStyle w:val="Compact"/>
      </w:pPr>
      <w:r>
        <w:t xml:space="preserve">All</w:t>
      </w:r>
      <w:r>
        <w:t xml:space="preserve"> </w:t>
      </w:r>
      <w:r>
        <w:rPr>
          <w:bCs/>
          <w:b/>
        </w:rPr>
        <w:t xml:space="preserve">Welder</w:t>
      </w:r>
      <w:r>
        <w:t xml:space="preserve"> </w:t>
      </w:r>
      <w:r>
        <w:t xml:space="preserve">personnel shall comply with the Occupational Safety and Health regulations of the State of Kuwait and the client's site-specific safety plan.</w:t>
      </w:r>
    </w:p>
    <w:p>
      <w:pPr>
        <w:numPr>
          <w:ilvl w:val="0"/>
          <w:numId w:val="1001"/>
        </w:numPr>
        <w:pStyle w:val="Compact"/>
      </w:pPr>
      <w:r>
        <w:t xml:space="preserve">Warranty: All welds shall carry a twelve (12) month warranty against defects in workmanship from the date of final acceptance, provided the welds are not subjected to unauthorized modification or excessive mechanical stress.</w:t>
      </w:r>
    </w:p>
    <w:p>
      <w:pPr>
        <w:numPr>
          <w:ilvl w:val="0"/>
          <w:numId w:val="1001"/>
        </w:numPr>
        <w:pStyle w:val="Compact"/>
      </w:pPr>
      <w:r>
        <w:t xml:space="preserve">This</w:t>
      </w:r>
      <w:r>
        <w:t xml:space="preserve"> </w:t>
      </w:r>
      <w:r>
        <w:rPr>
          <w:bCs/>
          <w:b/>
        </w:rPr>
        <w:t xml:space="preserve">Quotation Estimate</w:t>
      </w:r>
      <w:r>
        <w:t xml:space="preserve"> </w:t>
      </w:r>
      <w:r>
        <w:t xml:space="preserve">does not include costs for structural steel materials, pipe stock, or any third-party engineering design services.</w:t>
      </w:r>
    </w:p>
    <w:p>
      <w:pPr>
        <w:numPr>
          <w:ilvl w:val="0"/>
          <w:numId w:val="1001"/>
        </w:numPr>
        <w:pStyle w:val="Compact"/>
      </w:pPr>
      <w:r>
        <w:t xml:space="preserve">Disputes arising from this</w:t>
      </w:r>
      <w:r>
        <w:t xml:space="preserve"> </w:t>
      </w:r>
      <w:r>
        <w:rPr>
          <w:bCs/>
          <w:b/>
        </w:rPr>
        <w:t xml:space="preserve">Quotation Estimate</w:t>
      </w:r>
      <w:r>
        <w:t xml:space="preserve"> </w:t>
      </w:r>
      <w:r>
        <w:t xml:space="preserve">shall be governed by the laws of the State of Kuwait and shall be subject to the jurisdiction of the courts in</w:t>
      </w:r>
      <w:r>
        <w:t xml:space="preserve"> </w:t>
      </w:r>
      <w:r>
        <w:rPr>
          <w:bCs/>
          <w:b/>
        </w:rPr>
        <w:t xml:space="preserve">Kuwait, Kuwait City</w:t>
      </w:r>
      <w:r>
        <w:t xml:space="preserve">.</w:t>
      </w:r>
    </w:p>
    <w:p>
      <w:pPr>
        <w:numPr>
          <w:ilvl w:val="0"/>
          <w:numId w:val="1001"/>
        </w:numPr>
        <w:pStyle w:val="Compact"/>
      </w:pPr>
      <w:r>
        <w:t xml:space="preserve">Force majeure events, including but not limited to extreme weather conditions exceeding 50°C ambient temperature (as per Kuwaiti labor law), may result in adjusted working hours without penalty to either party.</w:t>
      </w:r>
    </w:p>
    <w:bookmarkEnd w:id="25"/>
    <w:bookmarkStart w:id="26" w:name="acceptance-and-authorization"/>
    <w:p>
      <w:pPr>
        <w:pStyle w:val="Heading2"/>
      </w:pPr>
      <w:r>
        <w:t xml:space="preserve">Acceptance and Authorization</w:t>
      </w:r>
    </w:p>
    <w:p>
      <w:pPr>
        <w:pStyle w:val="FirstParagraph"/>
      </w:pPr>
      <w:r>
        <w:t xml:space="preserve">By signing below, the client acknowledges and accepts this</w:t>
      </w:r>
      <w:r>
        <w:t xml:space="preserve"> </w:t>
      </w:r>
      <w:r>
        <w:rPr>
          <w:bCs/>
          <w:b/>
        </w:rPr>
        <w:t xml:space="preserve">Quotation Estimate</w:t>
      </w:r>
      <w:r>
        <w:t xml:space="preserve"> </w:t>
      </w:r>
      <w:r>
        <w:t xml:space="preserve">for</w:t>
      </w:r>
      <w:r>
        <w:t xml:space="preserve"> </w:t>
      </w:r>
      <w:r>
        <w:rPr>
          <w:bCs/>
          <w:b/>
        </w:rPr>
        <w:t xml:space="preserve">Welder</w:t>
      </w:r>
      <w:r>
        <w:t xml:space="preserve"> </w:t>
      </w:r>
      <w:r>
        <w:t xml:space="preserve">services to be performed in</w:t>
      </w:r>
      <w:r>
        <w:t xml:space="preserve"> </w:t>
      </w:r>
      <w:r>
        <w:rPr>
          <w:bCs/>
          <w:b/>
        </w:rPr>
        <w:t xml:space="preserve">Kuwait, Kuwait City</w:t>
      </w:r>
      <w:r>
        <w:t xml:space="preserve">, and agrees to all terms and conditions outlined herein.</w:t>
      </w:r>
    </w:p>
    <w:p>
      <w:pPr>
        <w:pStyle w:val="BodyText"/>
      </w:pPr>
      <w:r>
        <w:rPr>
          <w:bCs/>
          <w:b/>
        </w:rPr>
        <w:t xml:space="preserve">For: Al-Nakheel Industrial Services W.L.L.</w:t>
      </w:r>
      <w:r>
        <w:br/>
      </w:r>
      <w:r>
        <w:t xml:space="preserve">Name: Eng. Salem Al-Rashidi</w:t>
      </w:r>
      <w:r>
        <w:br/>
      </w:r>
      <w:r>
        <w:t xml:space="preserve">Title: General Manager</w:t>
      </w:r>
      <w:r>
        <w:br/>
      </w:r>
      <w:r>
        <w:t xml:space="preserve">Date: _______________</w:t>
      </w:r>
    </w:p>
    <w:p>
      <w:pPr>
        <w:pStyle w:val="BodyText"/>
      </w:pPr>
      <w:r>
        <w:rPr>
          <w:bCs/>
          <w:b/>
        </w:rPr>
        <w:t xml:space="preserve">For: Gulf Construction &amp; Development Co. W.L.L.</w:t>
      </w:r>
      <w:r>
        <w:br/>
      </w:r>
      <w:r>
        <w:t xml:space="preserve">Name: Eng. Khalid Al-Mubarak</w:t>
      </w:r>
      <w:r>
        <w:br/>
      </w:r>
      <w:r>
        <w:t xml:space="preserve">Title: Project Manager</w:t>
      </w:r>
      <w:r>
        <w:br/>
      </w:r>
      <w:r>
        <w:t xml:space="preserve">Date: _______________</w:t>
      </w:r>
    </w:p>
    <w:p>
      <w:pPr>
        <w:pStyle w:val="BodyText"/>
      </w:pPr>
      <w:r>
        <w:t xml:space="preserve">Al-Nakheel Industrial Services W.L.L.  |  P.O. Box 4521, Salmiya, Kuwait  |  CR: 118452</w:t>
      </w:r>
    </w:p>
    <w:p>
      <w:pPr>
        <w:pStyle w:val="BodyText"/>
      </w:pPr>
      <w:r>
        <w:t xml:space="preserve">This Quotation Estimate is a confidential document intended solely for the named recipient. Unauthorized reproduction or distribution is prohibited.</w:t>
      </w:r>
    </w:p>
    <w:p>
      <w:pPr>
        <w:pStyle w:val="BodyText"/>
      </w:pPr>
      <w:r>
        <w:t xml:space="preserve">Page 1 of 1  |  QTE-2025-KWT-0347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Welder Services - Kuwait Kuwait City</dc:title>
  <dc:creator/>
  <dc:language>en</dc:language>
  <cp:keywords/>
  <dcterms:created xsi:type="dcterms:W3CDTF">2026-10-10T04:04:21Z</dcterms:created>
  <dcterms:modified xsi:type="dcterms:W3CDTF">2026-10-10T04:04:21Z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