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Welder Services — Myanmar Yangon</w:t>
      </w:r>
    </w:p>
    <w:p>
      <w:pPr>
        <w:pStyle w:val="BodyText"/>
      </w:pPr>
      <w:r>
        <w:t xml:space="preserve">Document Reference: QE-WLD-MY-2025-0047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Golden Bridge Industrial Services Co., Ltd.</w:t>
            </w:r>
          </w:p>
        </w:tc>
      </w:tr>
      <w:tr>
        <w:tc>
          <w:tcPr/>
          <w:p>
            <w:pPr>
              <w:pStyle w:val="Compact"/>
              <w:jc w:val="left"/>
            </w:pPr>
            <w:r>
              <w:t xml:space="preserve">Prepared For:</w:t>
            </w:r>
          </w:p>
        </w:tc>
        <w:tc>
          <w:tcPr/>
          <w:p>
            <w:pPr>
              <w:pStyle w:val="Compact"/>
              <w:jc w:val="left"/>
            </w:pPr>
            <w:r>
              <w:t xml:space="preserve">Yangon Construction &amp; Infrastructure Development Group</w:t>
            </w:r>
          </w:p>
        </w:tc>
      </w:tr>
      <w:tr>
        <w:tc>
          <w:tcPr/>
          <w:p>
            <w:pPr>
              <w:pStyle w:val="Compact"/>
              <w:jc w:val="left"/>
            </w:pPr>
            <w:r>
              <w:t xml:space="preserve">Project Location:</w:t>
            </w:r>
          </w:p>
        </w:tc>
        <w:tc>
          <w:tcPr/>
          <w:p>
            <w:pPr>
              <w:pStyle w:val="Compact"/>
              <w:jc w:val="left"/>
            </w:pPr>
            <w:r>
              <w:t xml:space="preserve">Industrial Zone 4, Hlaing Township, Myanmar Yangon</w:t>
            </w:r>
          </w:p>
        </w:tc>
      </w:tr>
      <w:tr>
        <w:tc>
          <w:tcPr/>
          <w:p>
            <w:pPr>
              <w:pStyle w:val="Compact"/>
              <w:jc w:val="left"/>
            </w:pPr>
            <w:r>
              <w:t xml:space="preserve">Contact Person:</w:t>
            </w:r>
          </w:p>
        </w:tc>
        <w:tc>
          <w:tcPr/>
          <w:p>
            <w:pPr>
              <w:pStyle w:val="Compact"/>
              <w:jc w:val="left"/>
            </w:pPr>
            <w:r>
              <w:t xml:space="preserve">U Aung Kyaw Min — +95 9 456 789 012</w:t>
            </w:r>
          </w:p>
        </w:tc>
      </w:tr>
      <w:tr>
        <w:tc>
          <w:tcPr/>
          <w:p>
            <w:pPr>
              <w:pStyle w:val="Compact"/>
              <w:jc w:val="left"/>
            </w:pPr>
            <w:r>
              <w:t xml:space="preserve">Currency:</w:t>
            </w:r>
          </w:p>
        </w:tc>
        <w:tc>
          <w:tcPr/>
          <w:p>
            <w:pPr>
              <w:pStyle w:val="Compact"/>
              <w:jc w:val="left"/>
            </w:pPr>
            <w:r>
              <w:t xml:space="preserve">US Dollars (USD)</w:t>
            </w:r>
          </w:p>
        </w:tc>
      </w:tr>
    </w:tbl>
    <w:bookmarkStart w:id="21" w:name="Xefb023f9348ffe3ee8073e7e0e3cb109f1612d6"/>
    <w:p>
      <w:pPr>
        <w:pStyle w:val="Heading2"/>
      </w:pPr>
      <w:r>
        <w:t xml:space="preserve">1. Scope of Work — Welder Deployment in Myanmar Yangon</w:t>
      </w:r>
    </w:p>
    <w:p>
      <w:pPr>
        <w:pStyle w:val="FirstParagraph"/>
      </w:pPr>
      <w:r>
        <w:t xml:space="preserve">This Quotation Estimate is issued by Golden Bridge Industrial Services Co., Ltd. to provide a comprehensive cost breakdown for the deployment of qualified Welder personnel to support structural fabrication and on-site assembly operations at the client's facility located in Myanmar Yangon. The scope encompasses the supply of certified Welder professionals, necessary personal protective equipment (PPE), consumable welding materials, and supervisory oversight for a contract duration of twelve (12) months, commencing upon written acceptance of this Quotation Estimate.</w:t>
      </w:r>
    </w:p>
    <w:p>
      <w:pPr>
        <w:pStyle w:val="BodyText"/>
      </w:pPr>
      <w:r>
        <w:t xml:space="preserve">The Welder team will be responsible for structural steel welding, pipe fitting, fabrication of custom metal components, and maintenance welding tasks as directed by the project engineering team. All Welder personnel assigned to this project in Myanmar Yangon shall hold valid certifications from the American Welding Society (AWS) or equivalent Myanmar national welding authority, and shall possess a minimum of five (5) years of documented field experience in industrial and construction welding environments.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Welder (AWS D1.1 Certified) — Monthly Salary &amp; Allowances</w:t>
            </w:r>
          </w:p>
        </w:tc>
        <w:tc>
          <w:tcPr/>
          <w:p>
            <w:pPr>
              <w:pStyle w:val="Compact"/>
              <w:jc w:val="left"/>
            </w:pPr>
            <w:r>
              <w:t xml:space="preserve">4 pax / 12 mo</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Junior Welder (TIG &amp; MIG Qualified) — Monthly Salary &amp; Allowances</w:t>
            </w:r>
          </w:p>
        </w:tc>
        <w:tc>
          <w:tcPr/>
          <w:p>
            <w:pPr>
              <w:pStyle w:val="Compact"/>
              <w:jc w:val="left"/>
            </w:pPr>
            <w:r>
              <w:t xml:space="preserve">6 pax / 12 mo</w:t>
            </w:r>
          </w:p>
        </w:tc>
        <w:tc>
          <w:tcPr/>
          <w:p>
            <w:pPr>
              <w:pStyle w:val="Compact"/>
              <w:jc w:val="left"/>
            </w:pPr>
            <w:r>
              <w:t xml:space="preserve">1,200.00</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Welding Supervisor / Foreman — Monthly Salary &amp; Allowances</w:t>
            </w:r>
          </w:p>
        </w:tc>
        <w:tc>
          <w:tcPr/>
          <w:p>
            <w:pPr>
              <w:pStyle w:val="Compact"/>
              <w:jc w:val="left"/>
            </w:pPr>
            <w:r>
              <w:t xml:space="preserve">1 pax / 12 mo</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Personal Protective Equipment (PPE) per Welder (helmets, gloves, aprons, boots)</w:t>
            </w:r>
          </w:p>
        </w:tc>
        <w:tc>
          <w:tcPr/>
          <w:p>
            <w:pPr>
              <w:pStyle w:val="Compact"/>
              <w:jc w:val="left"/>
            </w:pPr>
            <w:r>
              <w:t xml:space="preserve">11 sets</w:t>
            </w:r>
          </w:p>
        </w:tc>
        <w:tc>
          <w:tcPr/>
          <w:p>
            <w:pPr>
              <w:pStyle w:val="Compact"/>
              <w:jc w:val="left"/>
            </w:pPr>
            <w:r>
              <w:t xml:space="preserve">320.00</w:t>
            </w:r>
          </w:p>
        </w:tc>
        <w:tc>
          <w:tcPr/>
          <w:p>
            <w:pPr>
              <w:pStyle w:val="Compact"/>
              <w:jc w:val="left"/>
            </w:pPr>
            <w:r>
              <w:t xml:space="preserve">3,520.00</w:t>
            </w:r>
          </w:p>
        </w:tc>
      </w:tr>
      <w:tr>
        <w:tc>
          <w:tcPr/>
          <w:p>
            <w:pPr>
              <w:pStyle w:val="Compact"/>
              <w:jc w:val="left"/>
            </w:pPr>
            <w:r>
              <w:t xml:space="preserve">05</w:t>
            </w:r>
          </w:p>
        </w:tc>
        <w:tc>
          <w:tcPr/>
          <w:p>
            <w:pPr>
              <w:pStyle w:val="Compact"/>
              <w:jc w:val="left"/>
            </w:pPr>
            <w:r>
              <w:t xml:space="preserve">Welding Consumables (electrodes, wire, gas cylinders, grinding discs) — Annual</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Welding Equipment Rental (MIG/TIG machines, plasma cutters, positioners)</w:t>
            </w:r>
          </w:p>
        </w:tc>
        <w:tc>
          <w:tcPr/>
          <w:p>
            <w:pPr>
              <w:pStyle w:val="Compact"/>
              <w:jc w:val="left"/>
            </w:pPr>
            <w:r>
              <w:t xml:space="preserve">12 mo</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07</w:t>
            </w:r>
          </w:p>
        </w:tc>
        <w:tc>
          <w:tcPr/>
          <w:p>
            <w:pPr>
              <w:pStyle w:val="Compact"/>
              <w:jc w:val="left"/>
            </w:pPr>
            <w:r>
              <w:t xml:space="preserve">Visa Processing, Work Permits &amp; Immigration Compliance (Myanmar Yangon)</w:t>
            </w:r>
          </w:p>
        </w:tc>
        <w:tc>
          <w:tcPr/>
          <w:p>
            <w:pPr>
              <w:pStyle w:val="Compact"/>
              <w:jc w:val="left"/>
            </w:pPr>
            <w:r>
              <w:t xml:space="preserve">11 pax</w:t>
            </w:r>
          </w:p>
        </w:tc>
        <w:tc>
          <w:tcPr/>
          <w:p>
            <w:pPr>
              <w:pStyle w:val="Compact"/>
              <w:jc w:val="left"/>
            </w:pPr>
            <w:r>
              <w:t xml:space="preserve">650.00</w:t>
            </w:r>
          </w:p>
        </w:tc>
        <w:tc>
          <w:tcPr/>
          <w:p>
            <w:pPr>
              <w:pStyle w:val="Compact"/>
              <w:jc w:val="left"/>
            </w:pPr>
            <w:r>
              <w:t xml:space="preserve">7,150.00</w:t>
            </w:r>
          </w:p>
        </w:tc>
      </w:tr>
      <w:tr>
        <w:tc>
          <w:tcPr/>
          <w:p>
            <w:pPr>
              <w:pStyle w:val="Compact"/>
              <w:jc w:val="left"/>
            </w:pPr>
            <w:r>
              <w:t xml:space="preserve">08</w:t>
            </w:r>
          </w:p>
        </w:tc>
        <w:tc>
          <w:tcPr/>
          <w:p>
            <w:pPr>
              <w:pStyle w:val="Compact"/>
              <w:jc w:val="left"/>
            </w:pPr>
            <w:r>
              <w:t xml:space="preserve">Accommodation &amp; Local Transportation in Myanmar Yangon (12 months)</w:t>
            </w:r>
          </w:p>
        </w:tc>
        <w:tc>
          <w:tcPr/>
          <w:p>
            <w:pPr>
              <w:pStyle w:val="Compact"/>
              <w:jc w:val="left"/>
            </w:pPr>
            <w:r>
              <w:t xml:space="preserve">11 pax / 12 mo</w:t>
            </w:r>
          </w:p>
        </w:tc>
        <w:tc>
          <w:tcPr/>
          <w:p>
            <w:pPr>
              <w:pStyle w:val="Compact"/>
              <w:jc w:val="left"/>
            </w:pPr>
            <w:r>
              <w:t xml:space="preserve">480.00</w:t>
            </w:r>
          </w:p>
        </w:tc>
        <w:tc>
          <w:tcPr/>
          <w:p>
            <w:pPr>
              <w:pStyle w:val="Compact"/>
              <w:jc w:val="left"/>
            </w:pPr>
            <w:r>
              <w:t xml:space="preserve">63,360.00</w:t>
            </w:r>
          </w:p>
        </w:tc>
      </w:tr>
      <w:tr>
        <w:tc>
          <w:tcPr/>
          <w:p>
            <w:pPr>
              <w:pStyle w:val="Compact"/>
              <w:jc w:val="left"/>
            </w:pPr>
            <w:r>
              <w:t xml:space="preserve">09</w:t>
            </w:r>
          </w:p>
        </w:tc>
        <w:tc>
          <w:tcPr/>
          <w:p>
            <w:pPr>
              <w:pStyle w:val="Compact"/>
              <w:jc w:val="left"/>
            </w:pPr>
            <w:r>
              <w:t xml:space="preserve">Medical Insurance &amp; Occupational Health Coverage</w:t>
            </w:r>
          </w:p>
        </w:tc>
        <w:tc>
          <w:tcPr/>
          <w:p>
            <w:pPr>
              <w:pStyle w:val="Compact"/>
              <w:jc w:val="left"/>
            </w:pPr>
            <w:r>
              <w:t xml:space="preserve">11 pax / 12 mo</w:t>
            </w:r>
          </w:p>
        </w:tc>
        <w:tc>
          <w:tcPr/>
          <w:p>
            <w:pPr>
              <w:pStyle w:val="Compact"/>
              <w:jc w:val="left"/>
            </w:pPr>
            <w:r>
              <w:t xml:space="preserve">280.00</w:t>
            </w:r>
          </w:p>
        </w:tc>
        <w:tc>
          <w:tcPr/>
          <w:p>
            <w:pPr>
              <w:pStyle w:val="Compact"/>
              <w:jc w:val="left"/>
            </w:pPr>
            <w:r>
              <w:t xml:space="preserve">36,960.00</w:t>
            </w:r>
          </w:p>
        </w:tc>
      </w:tr>
      <w:tr>
        <w:tc>
          <w:tcPr/>
          <w:p>
            <w:pPr>
              <w:pStyle w:val="Compact"/>
              <w:jc w:val="left"/>
            </w:pPr>
            <w:r>
              <w:t xml:space="preserve">10</w:t>
            </w:r>
          </w:p>
        </w:tc>
        <w:tc>
          <w:tcPr/>
          <w:p>
            <w:pPr>
              <w:pStyle w:val="Compact"/>
              <w:jc w:val="left"/>
            </w:pPr>
            <w:r>
              <w:t xml:space="preserve">Quality Inspection &amp; NDT (Non-Destructive Testing) Services</w:t>
            </w:r>
          </w:p>
        </w:tc>
        <w:tc>
          <w:tcPr/>
          <w:p>
            <w:pPr>
              <w:pStyle w:val="Compact"/>
              <w:jc w:val="left"/>
            </w:pPr>
            <w:r>
              <w:t xml:space="preserve">12 mo</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11</w:t>
            </w:r>
          </w:p>
        </w:tc>
        <w:tc>
          <w:tcPr/>
          <w:p>
            <w:pPr>
              <w:pStyle w:val="Compact"/>
              <w:jc w:val="left"/>
            </w:pPr>
            <w:r>
              <w:t xml:space="preserve">Project Management, Reporting &amp; Administrative Overhead</w:t>
            </w:r>
          </w:p>
        </w:tc>
        <w:tc>
          <w:tcPr/>
          <w:p>
            <w:pPr>
              <w:pStyle w:val="Compact"/>
              <w:jc w:val="left"/>
            </w:pPr>
            <w:r>
              <w:t xml:space="preserve">12 mo</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12</w:t>
            </w:r>
          </w:p>
        </w:tc>
        <w:tc>
          <w:tcPr/>
          <w:p>
            <w:pPr>
              <w:pStyle w:val="Compact"/>
              <w:jc w:val="left"/>
            </w:pPr>
            <w:r>
              <w:t xml:space="preserve">Contingency &amp; Miscellaneous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14,538.00</w:t>
            </w:r>
          </w:p>
        </w:tc>
      </w:tr>
      <w:tr>
        <w:tc>
          <w:tcPr>
            <w:gridSpan w:val="4"/>
          </w:tcPr>
          <w:p>
            <w:pPr>
              <w:pStyle w:val="Compact"/>
              <w:jc w:val="left"/>
            </w:pPr>
            <w:r>
              <w:t xml:space="preserve">TOTAL ESTIMATED COST (USD)</w:t>
            </w:r>
          </w:p>
        </w:tc>
        <w:tc>
          <w:tcPr/>
          <w:p>
            <w:pPr>
              <w:pStyle w:val="Compact"/>
              <w:jc w:val="left"/>
            </w:pPr>
            <w:r>
              <w:t xml:space="preserve">511,228.00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Beyond this period, all rates and availability of Welder personnel in Myanmar Yangon are subject to revision without prior notice.</w:t>
      </w:r>
    </w:p>
    <w:p>
      <w:pPr>
        <w:numPr>
          <w:ilvl w:val="0"/>
          <w:numId w:val="1001"/>
        </w:numPr>
        <w:pStyle w:val="Compact"/>
      </w:pPr>
      <w:r>
        <w:t xml:space="preserve">Payment terms: 30% advance payment upon acceptance of this Quotation Estimate, 40% upon completion of the sixth (6th) month, and the remaining 30% upon successful project handover and final inspection.</w:t>
      </w:r>
    </w:p>
    <w:p>
      <w:pPr>
        <w:numPr>
          <w:ilvl w:val="0"/>
          <w:numId w:val="1001"/>
        </w:numPr>
        <w:pStyle w:val="Compact"/>
      </w:pPr>
      <w:r>
        <w:t xml:space="preserve">All Welder personnel deployed to Myanmar Yangon shall comply with the Labour Law of the Republic of the Union of Myanmar and all applicable local regulations governing foreign and local workers in industrial zones.</w:t>
      </w:r>
    </w:p>
    <w:p>
      <w:pPr>
        <w:numPr>
          <w:ilvl w:val="0"/>
          <w:numId w:val="1001"/>
        </w:numPr>
        <w:pStyle w:val="Compact"/>
      </w:pPr>
      <w:r>
        <w:t xml:space="preserve">The client shall provide a safe working environment, adequate ventilation, and access to all project areas. Golden Bridge Industrial Services Co., Ltd. shall ensure that every Welder is trained in occupational safety and health protocols specific to welding operations.</w:t>
      </w:r>
    </w:p>
    <w:p>
      <w:pPr>
        <w:numPr>
          <w:ilvl w:val="0"/>
          <w:numId w:val="1001"/>
        </w:numPr>
        <w:pStyle w:val="Compact"/>
      </w:pPr>
      <w:r>
        <w:t xml:space="preserve">Any change in scope, additional Welder headcount, or extension of the contract period beyond twelve (12) months shall be subject to a revised Quotation Estimate issued in writing by both parties.</w:t>
      </w:r>
    </w:p>
    <w:p>
      <w:pPr>
        <w:numPr>
          <w:ilvl w:val="0"/>
          <w:numId w:val="1001"/>
        </w:numPr>
        <w:pStyle w:val="Compact"/>
      </w:pPr>
      <w:r>
        <w:t xml:space="preserve">Disputes arising from this Quotation Estimate shall be resolved through amicable negotiation. In the event of unresolved disagreement, arbitration shall be conducted in Myanmar Yangon in accordance with the rules of the Myanmar Arbitration Centre.</w:t>
      </w:r>
    </w:p>
    <w:p>
      <w:pPr>
        <w:numPr>
          <w:ilvl w:val="0"/>
          <w:numId w:val="1001"/>
        </w:numPr>
        <w:pStyle w:val="Compact"/>
      </w:pPr>
      <w:r>
        <w:t xml:space="preserve">All welding work shall conform to AWS D1.1 (Structural Welding Code — Steel) and applicable Myanmar national standards. The Welder team shall produce weld logs, inspection reports, and as-built documentation for the client's records.</w:t>
      </w:r>
    </w:p>
    <w:p>
      <w:pPr>
        <w:numPr>
          <w:ilvl w:val="0"/>
          <w:numId w:val="1001"/>
        </w:numPr>
        <w:pStyle w:val="Compact"/>
      </w:pPr>
      <w:r>
        <w:t xml:space="preserve">This Quotation Estimate does not constitute a binding contract until a formal Service Agreement is executed by authorized representatives of both parties.</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for Welder services in Myanmar Yangon and agrees to the terms, conditions, and pricing outlined herein. This signature authorizes Golden Bridge Industrial Services Co., Ltd. to proceed with the mobilization of the Welder team and procurement of all listed materials and equipment.</w:t>
      </w:r>
    </w:p>
    <w:p>
      <w:pPr>
        <w:pStyle w:val="BodyText"/>
      </w:pPr>
      <w:r>
        <w:rPr>
          <w:bCs/>
          <w:b/>
        </w:rPr>
        <w:t xml:space="preserve">For: Golden Bridge Industrial Services Co., Ltd.</w:t>
      </w:r>
      <w:r>
        <w:br/>
      </w:r>
      <w:r>
        <w:t xml:space="preserve">Name: U Thura Win</w:t>
      </w:r>
      <w:r>
        <w:br/>
      </w:r>
      <w:r>
        <w:t xml:space="preserve">Title: General Manager</w:t>
      </w:r>
      <w:r>
        <w:br/>
      </w:r>
      <w:r>
        <w:t xml:space="preserve">Date: _______________</w:t>
      </w:r>
    </w:p>
    <w:p>
      <w:pPr>
        <w:pStyle w:val="BodyText"/>
      </w:pPr>
      <w:r>
        <w:rPr>
          <w:bCs/>
          <w:b/>
        </w:rPr>
        <w:t xml:space="preserve">For: Yangon Construction &amp; Infrastructure Development Group</w:t>
      </w:r>
      <w:r>
        <w:br/>
      </w:r>
      <w:r>
        <w:t xml:space="preserve">Name: U Aung Kyaw Min</w:t>
      </w:r>
      <w:r>
        <w:br/>
      </w:r>
      <w:r>
        <w:t xml:space="preserve">Title: Project Director</w:t>
      </w:r>
      <w:r>
        <w:br/>
      </w:r>
      <w:r>
        <w:t xml:space="preserve">Date: _______________</w:t>
      </w:r>
    </w:p>
    <w:p>
      <w:pPr>
        <w:pStyle w:val="BodyText"/>
      </w:pPr>
      <w:r>
        <w:rPr>
          <w:bCs/>
          <w:b/>
        </w:rPr>
        <w:t xml:space="preserve">Note:</w:t>
      </w:r>
      <w:r>
        <w:t xml:space="preserve"> </w:t>
      </w:r>
      <w:r>
        <w:t xml:space="preserve">This Quotation Estimate is prepared specifically for the Myanmar Yangon project site. All pricing reflects current market conditions for Welder labour, materials, and regulatory compliance in Myanmar Yangon as of June 2025. Exchange rate fluctuations between USD and Myanmar Kyat (MMK) may affect local disbursement amounts. Please contact our Myanmar Yangon office for clarification on any line item before the validity period expires.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Myanmar Yangon</dc:title>
  <dc:creator/>
  <dc:language>en</dc:language>
  <cp:keywords/>
  <dcterms:created xsi:type="dcterms:W3CDTF">2026-10-10T04:03:04Z</dcterms:created>
  <dcterms:modified xsi:type="dcterms:W3CDTF">2026-10-10T04:03:04Z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