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Reflection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Academic</w:t>
      </w:r>
      <w:r>
        <w:t xml:space="preserve"> </w:t>
      </w:r>
      <w:r>
        <w:t xml:space="preserve">Researcher</w:t>
      </w:r>
      <w:r>
        <w:t xml:space="preserve"> </w:t>
      </w:r>
      <w:r>
        <w:t xml:space="preserve">in</w:t>
      </w:r>
      <w:r>
        <w:t xml:space="preserve"> </w:t>
      </w:r>
      <w:r>
        <w:t xml:space="preserve">Colombia</w:t>
      </w:r>
      <w:r>
        <w:t xml:space="preserve"> </w:t>
      </w:r>
      <w:r>
        <w:t xml:space="preserve">Medellín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Reflection Paper: The Role of the Academic Researcher in Colombia Medellín</dc:title>
  <dc:creator/>
  <dc:language>en</dc:language>
  <cp:keywords/>
  <dcterms:created xsi:type="dcterms:W3CDTF">2026-09-27T17:21:36Z</dcterms:created>
  <dcterms:modified xsi:type="dcterms:W3CDTF">2026-09-27T17:21:36Z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