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Indonesia</w:t>
      </w:r>
      <w:r>
        <w:t xml:space="preserve"> </w:t>
      </w:r>
      <w:r>
        <w:t xml:space="preserve">Jakarta</w:t>
      </w:r>
    </w:p>
    <w:bookmarkStart w:id="20" w:name="X4f5ecf4c19e6232c93ef49fce6684123f25ff56"/>
    <w:p>
      <w:pPr>
        <w:pStyle w:val="Heading1"/>
      </w:pPr>
      <w:r>
        <w:t xml:space="preserve">Navigating Complexity: A Reflection on the Role of the Academic Researcher in Indonesia Jakarta</w:t>
      </w:r>
    </w:p>
    <w:p>
      <w:pPr>
        <w:pStyle w:val="FirstParagraph"/>
      </w:pPr>
      <w:r>
        <w:t xml:space="preserve">The landscape of higher education and scientific inquiry in Southeast Asia is undergoing a profound transformation, with Indonesia Jakarta standing at the epicenter of this dynamism. As I reflect upon the role and responsibilities of an</w:t>
      </w:r>
      <w:r>
        <w:t xml:space="preserve"> </w:t>
      </w:r>
      <w:r>
        <w:rPr>
          <w:bCs/>
          <w:b/>
        </w:rPr>
        <w:t xml:space="preserve">Academic Researcher</w:t>
      </w:r>
      <w:r>
        <w:t xml:space="preserve">, it becomes evident that this identity is no longer confined to the quiet solitude of library archives or isolated laboratory experiments. Instead, in the context of</w:t>
      </w:r>
      <w:r>
        <w:t xml:space="preserve"> </w:t>
      </w:r>
      <w:r>
        <w:rPr>
          <w:bCs/>
          <w:b/>
        </w:rPr>
        <w:t xml:space="preserve">Indonesia Jakarta</w:t>
      </w:r>
      <w:r>
        <w:t xml:space="preserve">, being an academic researcher requires a multifaceted engagement with society, policy, technology, and culture. This reflection paper explores the evolving nature of research within this specific geographical and cultural hub, emphasizing the necessity for scholars to bridge the gap between theoretical knowledge and practical societal application.</w:t>
      </w:r>
    </w:p>
    <w:p>
      <w:pPr>
        <w:pStyle w:val="BodyText"/>
      </w:pPr>
      <w:r>
        <w:t xml:space="preserve">To begin with, it is crucial to understand that an</w:t>
      </w:r>
      <w:r>
        <w:t xml:space="preserve"> </w:t>
      </w:r>
      <w:r>
        <w:rPr>
          <w:bCs/>
          <w:b/>
        </w:rPr>
        <w:t xml:space="preserve">Academic Researcher</w:t>
      </w:r>
      <w:r>
        <w:t xml:space="preserve"> </w:t>
      </w:r>
      <w:r>
        <w:t xml:space="preserve">operates in a unique ecosystem when situated in</w:t>
      </w:r>
      <w:r>
        <w:t xml:space="preserve"> </w:t>
      </w:r>
      <w:r>
        <w:rPr>
          <w:bCs/>
          <w:b/>
        </w:rPr>
        <w:t xml:space="preserve">Indonesia Jakarta</w:t>
      </w:r>
      <w:r>
        <w:t xml:space="preserve">. The capital city of Indonesia is not merely a political administrative center; it is the intellectual heart of the archipelago. Here, universities such as Universitas Indonesia (UI), Institut Teknologi Bandung’s extended campus influences, and numerous private institutions converge to form a dense network of innovation. For any researcher working in this environment, the pressure to produce high-impact publications is balanced against an equally significant imperative: relevance to national development goals. The traditional Western model of "pure science," divorced from immediate social utility, often feels ill-suited for the pressing challenges faced by</w:t>
      </w:r>
      <w:r>
        <w:t xml:space="preserve"> </w:t>
      </w:r>
      <w:r>
        <w:rPr>
          <w:bCs/>
          <w:b/>
        </w:rPr>
        <w:t xml:space="preserve">Indonesia Jakarta</w:t>
      </w:r>
      <w:r>
        <w:t xml:space="preserve">. Issues such as urban congestion, environmental degradation, public health crises like pandemics, and economic inequality demand research that is not only rigorous but also actionable. Therefore, the modern academic researcher must adopt a hybrid identity: part scientist, part social commentator, and part policy advisor.</w:t>
      </w:r>
    </w:p>
    <w:p>
      <w:pPr>
        <w:pStyle w:val="BodyText"/>
      </w:pPr>
      <w:r>
        <w:t xml:space="preserve">Furthermore, the concept of interdisciplinary collaboration has become non-negotiable for an</w:t>
      </w:r>
      <w:r>
        <w:t xml:space="preserve"> </w:t>
      </w:r>
      <w:r>
        <w:rPr>
          <w:bCs/>
          <w:b/>
        </w:rPr>
        <w:t xml:space="preserve">Academic Researcher</w:t>
      </w:r>
      <w:r>
        <w:t xml:space="preserve"> </w:t>
      </w:r>
      <w:r>
        <w:t xml:space="preserve">in this region. The problems plaguing</w:t>
      </w:r>
      <w:r>
        <w:t xml:space="preserve"> </w:t>
      </w:r>
      <w:r>
        <w:rPr>
          <w:bCs/>
          <w:b/>
        </w:rPr>
        <w:t xml:space="preserve">Indonesia Jakarta</w:t>
      </w:r>
      <w:r>
        <w:t xml:space="preserve">Indonesia Jakarta, moving away from competition between disciplines toward cooperation. It requires researchers to be humble enough to learn the languages of other fields and resilient enough to navigate the bureaucratic hurdles of joint funding applications.</w:t>
      </w:r>
    </w:p>
    <w:p>
      <w:pPr>
        <w:pStyle w:val="BodyText"/>
      </w:pPr>
      <w:r>
        <w:t xml:space="preserve">Another critical aspect of this reflection is the ethical dimension of research conducted in</w:t>
      </w:r>
      <w:r>
        <w:t xml:space="preserve"> </w:t>
      </w:r>
      <w:r>
        <w:rPr>
          <w:bCs/>
          <w:b/>
        </w:rPr>
        <w:t xml:space="preserve">Indonesia Jakarta</w:t>
      </w:r>
      <w:r>
        <w:t xml:space="preserve">. As an</w:t>
      </w:r>
      <w:r>
        <w:t xml:space="preserve"> </w:t>
      </w:r>
      <w:r>
        <w:rPr>
          <w:bCs/>
          <w:b/>
        </w:rPr>
        <w:t xml:space="preserve">Academic Researcher</w:t>
      </w:r>
      <w:r>
        <w:t xml:space="preserve">, one must be acutely aware of power dynamics, particularly when dealing with vulnerable populations. Indonesia is a nation rich in cultural diversity and indigenous knowledge systems. When conducting fieldwork or community-based participatory research, there is a risk of "extractive" scholarship—where data is taken from communities without providing tangible benefits in return. In the context of</w:t>
      </w:r>
      <w:r>
        <w:t xml:space="preserve"> </w:t>
      </w:r>
      <w:r>
        <w:rPr>
          <w:bCs/>
          <w:b/>
        </w:rPr>
        <w:t xml:space="preserve">Indonesia Jakarta</w:t>
      </w:r>
      <w:r>
        <w:t xml:space="preserve">, which serves as a melting pot for migrants from across the archipelago, researchers must exercise cultural sensitivity and ethical rigor. This involves ensuring informed consent in local languages, respecting adat (customary laws) where applicable, and guaranteeing that research outcomes contribute to community empowerment rather than just academic tenure requirements. Ethical research is not just about avoiding harm; it is about fostering trust between the university and the public.</w:t>
      </w:r>
    </w:p>
    <w:p>
      <w:pPr>
        <w:pStyle w:val="BodyText"/>
      </w:pPr>
      <w:r>
        <w:t xml:space="preserve">Moreover, digital transformation plays a pivotal role in redefining the role of the</w:t>
      </w:r>
      <w:r>
        <w:t xml:space="preserve"> </w:t>
      </w:r>
      <w:r>
        <w:rPr>
          <w:bCs/>
          <w:b/>
        </w:rPr>
        <w:t xml:space="preserve">Academic Researcher</w:t>
      </w:r>
      <w:r>
        <w:t xml:space="preserve">.</w:t>
      </w:r>
      <w:r>
        <w:t xml:space="preserve"> </w:t>
      </w:r>
      <w:r>
        <w:rPr>
          <w:bCs/>
          <w:b/>
        </w:rPr>
        <w:t xml:space="preserve">Indonesia Jakarta</w:t>
      </w:r>
      <w:r>
        <w:t xml:space="preserve">Academic Researcher must now be proficient not only in qualitative and quantitative methods but also in computational tools. This technological fluency allows researchers to engage more effectively with global scientific communities while simultaneously addressing local needs using localized datasets.</w:t>
      </w:r>
    </w:p>
    <w:p>
      <w:pPr>
        <w:pStyle w:val="BodyText"/>
      </w:pPr>
      <w:r>
        <w:t xml:space="preserve">In addition, the dissemination of knowledge requires a strategic approach. The traditional model of publishing exclusively in high-impact international journals is insufficient for reaching policymakers and the general public in</w:t>
      </w:r>
      <w:r>
        <w:t xml:space="preserve"> </w:t>
      </w:r>
      <w:r>
        <w:rPr>
          <w:bCs/>
          <w:b/>
        </w:rPr>
        <w:t xml:space="preserve">Indonesia Jakarta</w:t>
      </w:r>
      <w:r>
        <w:t xml:space="preserve">. An effective</w:t>
      </w:r>
      <w:r>
        <w:t xml:space="preserve"> </w:t>
      </w:r>
      <w:r>
        <w:rPr>
          <w:bCs/>
          <w:b/>
        </w:rPr>
        <w:t xml:space="preserve">Academic Researcher</w:t>
      </w:r>
    </w:p>
    <w:p>
      <w:pPr>
        <w:pStyle w:val="BodyText"/>
      </w:pPr>
      <w:r>
        <w:t xml:space="preserve">Finally, reflecting on career development and institutional support reveals the importance of creating supportive environments for</w:t>
      </w:r>
      <w:r>
        <w:t xml:space="preserve"> </w:t>
      </w:r>
      <w:r>
        <w:rPr>
          <w:bCs/>
          <w:b/>
        </w:rPr>
        <w:t xml:space="preserve">Academic ResearcherIndonesia Jakarta</w:t>
      </w:r>
      <w:r>
        <w:t xml:space="preserve">. Universities must provide adequate funding, infrastructure, and mentorship. Bureaucratic inefficiencies can stifle creativity, so administrative reforms that streamline grant processes and evaluation metrics are essential. Furthermore, there should be greater recognition of applied research and community engagement in promotion criteria alongside traditional publication counts. By valuing diverse forms of impact, institutions can encourage more researchers to engage deeply with the societal challenges facing</w:t>
      </w:r>
      <w:r>
        <w:t xml:space="preserve"> </w:t>
      </w:r>
      <w:r>
        <w:rPr>
          <w:bCs/>
          <w:b/>
        </w:rPr>
        <w:t xml:space="preserve">Indonesia Jakarta</w:t>
      </w:r>
      <w:r>
        <w:t xml:space="preserve">.</w:t>
      </w:r>
    </w:p>
    <w:p>
      <w:pPr>
        <w:pStyle w:val="BodyText"/>
      </w:pPr>
      <w:r>
        <w:t xml:space="preserve">In conclusion, the role of an</w:t>
      </w:r>
    </w:p>
    <w:p>
      <w:pPr>
        <w:pStyle w:val="BodyText"/>
      </w:pPr>
      <w:r>
        <w:t xml:space="preserve">Academic ResearcherIndonesia Jakarta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Academic Researcher in Indonesia Jakarta</dc:title>
  <dc:creator/>
  <dc:language>en</dc:language>
  <cp:keywords/>
  <dcterms:created xsi:type="dcterms:W3CDTF">2026-07-29T16:17:28Z</dcterms:created>
  <dcterms:modified xsi:type="dcterms:W3CDTF">2026-07-29T16:17:28Z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