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5ae4778c22da03715c4281fdf728f2316156d6"/>
    <w:p>
      <w:pPr>
        <w:pStyle w:val="Heading1"/>
      </w:pPr>
      <w:r>
        <w:t xml:space="preserve">Navigating Complexity and Integrity: A Reflection on the Role of the Accountant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Committee</w:t>
      </w:r>
      <w:r>
        <w:br/>
      </w:r>
      <w:r>
        <w:rPr>
          <w:bCs/>
          <w:b/>
        </w:rPr>
        <w:t xml:space="preserve">From:</w:t>
      </w:r>
      <w:r>
        <w:t xml:space="preserve"> </w:t>
      </w:r>
      <w:r>
        <w:t xml:space="preserve">[Your Name], Certified Public Accountant</w:t>
      </w:r>
      <w:r>
        <w:br/>
      </w:r>
      <w:r>
        <w:rPr>
          <w:bCs/>
          <w:b/>
        </w:rPr>
        <w:t xml:space="preserve">Subject:</w:t>
      </w:r>
      <w:r>
        <w:t xml:space="preserve"> </w:t>
      </w:r>
      <w:r>
        <w:t xml:space="preserve">Reflection on Professional Practice in a Multinational Hub</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an</w:t>
      </w:r>
      <w:r>
        <w:t xml:space="preserve"> </w:t>
      </w:r>
      <w:r>
        <w:rPr>
          <w:bCs/>
          <w:b/>
        </w:rPr>
        <w:t xml:space="preserve">Accountant</w:t>
      </w:r>
      <w:r>
        <w:t xml:space="preserve"> </w:t>
      </w:r>
      <w:r>
        <w:t xml:space="preserve">is often misunderstood as a mere exercise in number-crunching, a static role defined by the mechanical application of tax codes and the balancing of ledgers. However, my journey through the dynamic financial landscape has revealed that accounting is, at its core, a narrative discipline—a story told in figures that reveals the health, strategy, and ethical grounding of an organization. Nowhere is this truth more profound than in</w:t>
      </w:r>
      <w:r>
        <w:t xml:space="preserve"> </w:t>
      </w:r>
      <w:r>
        <w:rPr>
          <w:bCs/>
          <w:b/>
        </w:rPr>
        <w:t xml:space="preserve">Belgium Brussels</w:t>
      </w:r>
      <w:r>
        <w:t xml:space="preserve">, a city that serves as both the administrative heart of Europe and a unique crucible for cross-border financial operations. This reflection paper seeks to explore my professional evolution within this specific context, examining how the interplay between rigorous regulatory frameworks, cultural diversity, and economic complexity has shaped my understanding of what it means to be an</w:t>
      </w:r>
      <w:r>
        <w:t xml:space="preserve"> </w:t>
      </w:r>
      <w:r>
        <w:rPr>
          <w:bCs/>
          <w:b/>
        </w:rPr>
        <w:t xml:space="preserve">Accountant</w:t>
      </w:r>
      <w:r>
        <w:t xml:space="preserve"> </w:t>
      </w:r>
      <w:r>
        <w:t xml:space="preserve">in the capital of</w:t>
      </w:r>
      <w:r>
        <w:t xml:space="preserve"> </w:t>
      </w:r>
      <w:r>
        <w:rPr>
          <w:bCs/>
          <w:b/>
        </w:rPr>
        <w:t xml:space="preserve">Belgium Brussels</w:t>
      </w:r>
      <w:r>
        <w:t xml:space="preserve">.</w:t>
      </w:r>
    </w:p>
    <w:bookmarkEnd w:id="20"/>
    <w:bookmarkStart w:id="21" w:name="the-unique-context-of-belgium-brussels"/>
    <w:p>
      <w:pPr>
        <w:pStyle w:val="Heading2"/>
      </w:pPr>
      <w:r>
        <w:t xml:space="preserve">The Unique Context of Belgium Brussels</w:t>
      </w:r>
    </w:p>
    <w:p>
      <w:pPr>
        <w:pStyle w:val="FirstParagraph"/>
      </w:pPr>
      <w:r>
        <w:t xml:space="preserve">To practice accounting in</w:t>
      </w:r>
      <w:r>
        <w:t xml:space="preserve"> </w:t>
      </w:r>
      <w:r>
        <w:rPr>
          <w:bCs/>
          <w:b/>
        </w:rPr>
        <w:t xml:space="preserve">Belgium Brussels</w:t>
      </w:r>
      <w:r>
        <w:t xml:space="preserve">Accountant, this means that technical proficiency is not merely an advantage; it is the baseline requirement for professional survival.</w:t>
      </w:r>
    </w:p>
    <w:p>
      <w:pPr>
        <w:pStyle w:val="BodyText"/>
      </w:pPr>
      <w:r>
        <w:t xml:space="preserve">However, the defining characteristic of</w:t>
      </w:r>
      <w:r>
        <w:t xml:space="preserve"> </w:t>
      </w:r>
      <w:r>
        <w:rPr>
          <w:bCs/>
          <w:b/>
        </w:rPr>
        <w:t xml:space="preserve">Belgium Brussels</w:t>
      </w:r>
      <w:r>
        <w:t xml:space="preserve">Accountant in this region must possess not only financial acumen but also cultural intelligence. I have found that effective accounting practices require empathy—the ability to understand the local business customs of a Flemish industrial family firm versus the strategic maneuvering of an international tech startup based in the EU district. The context of</w:t>
      </w:r>
      <w:r>
        <w:t xml:space="preserve"> </w:t>
      </w:r>
      <w:r>
        <w:rPr>
          <w:bCs/>
          <w:b/>
        </w:rPr>
        <w:t xml:space="preserve">Belgium Brussels</w:t>
      </w:r>
      <w:r>
        <w:t xml:space="preserve"> </w:t>
      </w:r>
      <w:r>
        <w:t xml:space="preserve">forces one to look beyond the spreadsheet and engage with the human and institutional structures behind every transaction.</w:t>
      </w:r>
    </w:p>
    <w:bookmarkEnd w:id="21"/>
    <w:bookmarkStart w:id="22" w:name="ethics-as-the-bedrock-of-trust"/>
    <w:p>
      <w:pPr>
        <w:pStyle w:val="Heading2"/>
      </w:pPr>
      <w:r>
        <w:t xml:space="preserve">Ethics as the Bedrock of Trust</w:t>
      </w:r>
    </w:p>
    <w:p>
      <w:pPr>
        <w:pStyle w:val="FirstParagraph"/>
      </w:pPr>
      <w:r>
        <w:t xml:space="preserve">In my early career, I viewed ethical compliance as a checklist—ensuring that taxes were filed on time and audits passed. However, working in</w:t>
      </w:r>
      <w:r>
        <w:t xml:space="preserve"> </w:t>
      </w:r>
      <w:r>
        <w:rPr>
          <w:bCs/>
          <w:b/>
        </w:rPr>
        <w:t xml:space="preserve">Belgium Brussels</w:t>
      </w:r>
      <w:r>
        <w:t xml:space="preserve">, where transparency is heavily scrutinized by both national authorities and international observers due to the presence of global decision-making bodies, my perspective shifted. The role of the</w:t>
      </w:r>
      <w:r>
        <w:t xml:space="preserve"> </w:t>
      </w:r>
      <w:r>
        <w:rPr>
          <w:bCs/>
          <w:b/>
        </w:rPr>
        <w:t xml:space="preserve">Accountant</w:t>
      </w:r>
      <w:r>
        <w:t xml:space="preserve"> </w:t>
      </w:r>
      <w:r>
        <w:t xml:space="preserve">here transcends compliance; it becomes a guardian of integrity. With high-profile cases involving financial scrutiny in recent years, the public expectation for accuracy and honesty has never been higher.</w:t>
      </w:r>
    </w:p>
    <w:p>
      <w:pPr>
        <w:pStyle w:val="BodyText"/>
      </w:pPr>
      <w:r>
        <w:t xml:space="preserve">I recall a specific instance where a client, an EU-affiliated organization operating out of</w:t>
      </w:r>
      <w:r>
        <w:t xml:space="preserve"> </w:t>
      </w:r>
      <w:r>
        <w:rPr>
          <w:bCs/>
          <w:b/>
        </w:rPr>
        <w:t xml:space="preserve">Belgium Brussels</w:t>
      </w:r>
      <w:r>
        <w:t xml:space="preserve">, proposed a aggressive tax avoidance strategy that was technically within the letter of the law but violated its spirit. As an</w:t>
      </w:r>
      <w:r>
        <w:t xml:space="preserve"> </w:t>
      </w:r>
      <w:r>
        <w:rPr>
          <w:bCs/>
          <w:b/>
        </w:rPr>
        <w:t xml:space="preserve">Accountant</w:t>
      </w:r>
      <w:r>
        <w:t xml:space="preserve">, I faced a dilemma: satisfy immediate client demands or uphold long-term professional integrity. Drawing upon the strict ethical guidelines mandated by Belgian professional bodies like IBR-IRB, I advised against this approach. The initial friction was palpable, but ultimately, it fostered a deeper relationship built on trust rather than transactional convenience. This experience reinforced my belief that in a hub as globally watched as</w:t>
      </w:r>
      <w:r>
        <w:t xml:space="preserve"> </w:t>
      </w:r>
      <w:r>
        <w:rPr>
          <w:bCs/>
          <w:b/>
        </w:rPr>
        <w:t xml:space="preserve">Belgium Brussels</w:t>
      </w:r>
      <w:r>
        <w:t xml:space="preserve">, the reputation of the</w:t>
      </w:r>
    </w:p>
    <w:p>
      <w:pPr>
        <w:pStyle w:val="BodyText"/>
      </w:pPr>
      <w:r>
        <w:t xml:space="preserve">Accountant is their most valuable asset. We are not just calculators; we are stewards of financial truth.</w:t>
      </w:r>
    </w:p>
    <w:bookmarkEnd w:id="22"/>
    <w:bookmarkStart w:id="23" w:name="the-shift-towards-strategic-advisory"/>
    <w:p>
      <w:pPr>
        <w:pStyle w:val="Heading2"/>
      </w:pPr>
      <w:r>
        <w:t xml:space="preserve">The Shift Towards Strategic Advisory</w:t>
      </w:r>
    </w:p>
    <w:p>
      <w:pPr>
        <w:pStyle w:val="FirstParagraph"/>
      </w:pPr>
      <w:r>
        <w:t xml:space="preserve">Gone are the days when an</w:t>
      </w:r>
    </w:p>
    <w:p>
      <w:pPr>
        <w:pStyle w:val="BodyText"/>
      </w:pPr>
      <w:r>
        <w:t xml:space="preserve">Accountant could simply deliver a balance sheet and leave. In</w:t>
      </w:r>
    </w:p>
    <w:p>
      <w:pPr>
        <w:pStyle w:val="BodyText"/>
      </w:pPr>
      <w:r>
        <w:t xml:space="preserve">Belgium Brussels, where competition is fierce and economic conditions fluctuate rapidly due to global political dynamics, clients demand more than historical data; they require forward-looking insights. The role has evolved from retrospective reporting to prospective advisory. I find myself spending increasingly less time on data entry—often automated through sophisticated software—and more time interpreting what that data means for business strategy.</w:t>
      </w:r>
    </w:p>
    <w:p>
      <w:pPr>
        <w:pStyle w:val="BodyText"/>
      </w:pPr>
      <w:r>
        <w:t xml:space="preserve">This shift requires continuous learning. The regulatory landscape in</w:t>
      </w:r>
    </w:p>
    <w:p>
      <w:pPr>
        <w:pStyle w:val="BodyText"/>
      </w:pPr>
      <w:r>
        <w:t xml:space="preserve">Belgium Brussels changes frequently, driven by both national fiscal policies and European Union directives regarding digital taxation, sustainability reporting (ESG), and anti-money laundering protocols. An effective</w:t>
      </w:r>
    </w:p>
    <w:p>
      <w:pPr>
        <w:pStyle w:val="BodyText"/>
      </w:pPr>
      <w:r>
        <w:t xml:space="preserve">Accountant must be a lifelong learner, constantly updating their knowledge base to provide relevant advice. For example, the push for green finance in Europe has required me to assist clients in aligning their financial reporting with environmental sustainability goals. This interdisciplinary approach highlights the modern reality of accounting: it is no longer siloed within finance departments but intersects with law, environmental science, and corporate governance.</w:t>
      </w:r>
    </w:p>
    <w:bookmarkEnd w:id="23"/>
    <w:bookmarkStart w:id="24" w:name="conclusion"/>
    <w:p>
      <w:pPr>
        <w:pStyle w:val="Heading2"/>
      </w:pPr>
      <w:r>
        <w:t xml:space="preserve">Conclusion</w:t>
      </w:r>
    </w:p>
    <w:p>
      <w:pPr>
        <w:pStyle w:val="FirstParagraph"/>
      </w:pPr>
      <w:r>
        <w:t xml:space="preserve">In conclusion, my reflection on the profession reveals that being an</w:t>
      </w:r>
      <w:r>
        <w:t xml:space="preserve"> </w:t>
      </w:r>
      <w:r>
        <w:rPr>
          <w:bCs/>
          <w:b/>
        </w:rPr>
        <w:t xml:space="preserve">Accountant</w:t>
      </w:r>
      <w:r>
        <w:t xml:space="preserve">Belgium BrusselsBelgium Brussels, with its unique position as a global nexus, acts as both a challenge and an educator. It strips away the simplicity of routine bookkeeping and demands a holistic understanding of finance as a tool for societal and corporate well-being.</w:t>
      </w:r>
    </w:p>
    <w:p>
      <w:pPr>
        <w:pStyle w:val="BodyText"/>
      </w:pPr>
      <w:r>
        <w:t xml:space="preserve">As I continue my career in this vibrant capital, I carry forward the lesson that numbers are not ends in themselves but means to an end. The true value of an</w:t>
      </w:r>
    </w:p>
    <w:p>
      <w:pPr>
        <w:pStyle w:val="BodyText"/>
      </w:pPr>
      <w:r>
        <w:t xml:space="preserve">AccountantBelgium Brussels. This reflection serves not just as a record of past experiences, but as a commitment to future growth, recognizing that the heart of accounting beats strongest where integrity meets insight.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2026-07-29T12:53:27Z</dcterms:created>
  <dcterms:modified xsi:type="dcterms:W3CDTF">2026-07-29T12:53:27Z</dcterms:modified>
</cp:coreProperties>
</file>

<file path=docProps/custom.xml><?xml version="1.0" encoding="utf-8"?>
<Properties xmlns="http://schemas.openxmlformats.org/officeDocument/2006/custom-properties" xmlns:vt="http://schemas.openxmlformats.org/officeDocument/2006/docPropsVTypes"/>
</file>