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Spain</w:t>
      </w:r>
      <w:r>
        <w:t xml:space="preserve"> </w:t>
      </w:r>
      <w:r>
        <w:t xml:space="preserve">Madrid</w:t>
      </w:r>
    </w:p>
    <w:bookmarkStart w:id="25" w:name="X8a300b9b02ca51215ace459100e687d64c71290"/>
    <w:p>
      <w:pPr>
        <w:pStyle w:val="Heading1"/>
      </w:pPr>
      <w:r>
        <w:t xml:space="preserve">A Reflection on the Evolution and Responsibility of the</w:t>
      </w:r>
      <w:r>
        <w:t xml:space="preserve"> </w:t>
      </w:r>
      <w:r>
        <w:rPr>
          <w:bCs/>
          <w:b/>
        </w:rPr>
        <w:t xml:space="preserve">Architect</w:t>
      </w:r>
    </w:p>
    <w:p>
      <w:pPr>
        <w:pStyle w:val="FirstParagraph"/>
      </w:pPr>
      <w:r>
        <w:t xml:space="preserve">Inhabiting a landscape where history breathes through stone and modernity reaches for the sky, the role of any</w:t>
      </w:r>
    </w:p>
    <w:p>
      <w:pPr>
        <w:pStyle w:val="BodyText"/>
      </w:pPr>
      <w:r>
        <w:t xml:space="preserve">&lt;strong&gt;</w:t>
      </w:r>
    </w:p>
    <w:bookmarkStart w:id="20" w:name="X8ead4d76314569dc4a8ce5ad9143ba4878a3bce"/>
    <w:p>
      <w:pPr>
        <w:pStyle w:val="Heading2"/>
      </w:pPr>
      <w:r>
        <w:t xml:space="preserve">The Historical Weight: Living with Layers of History</w:t>
      </w:r>
    </w:p>
    <w:p>
      <w:pPr>
        <w:pStyle w:val="FirstParagraph"/>
      </w:pPr>
      <w:r>
        <w:t xml:space="preserve">To practice architecture in Madrid is to engage in a constant dialogue with the past. The city is not merely a backdrop; it is an active participant in every design decision. For the</w:t>
      </w:r>
      <w:r>
        <w:t xml:space="preserve"> </w:t>
      </w:r>
      <w:r>
        <w:rPr>
          <w:bCs/>
          <w:b/>
        </w:rPr>
        <w:t xml:space="preserve">Architect</w:t>
      </w:r>
      <w:r>
        <w:t xml:space="preserve">, working within the boundaries of Spain's capital means navigating a complex web of heritage protections, aesthetic traditions, and urban rhythms that have evolved over centuries. Madrid’s architectural identity is defined by its layers: from the austere grandeur of Habsburg-era buildings to the eclectic splendor of the Bourbon period, and finally to the modernist expansions that shaped 20th-century urbanism.</w:t>
      </w:r>
    </w:p>
    <w:p>
      <w:pPr>
        <w:pStyle w:val="BodyText"/>
      </w:pPr>
      <w:r>
        <w:t xml:space="preserve">In this context, the</w:t>
      </w:r>
      <w:r>
        <w:t xml:space="preserve"> </w:t>
      </w:r>
      <w:r>
        <w:rPr>
          <w:bCs/>
          <w:b/>
        </w:rPr>
        <w:t xml:space="preserve">Architect</w:t>
      </w:r>
      <w:r>
        <w:t xml:space="preserve"> </w:t>
      </w:r>
      <w:r>
        <w:t xml:space="preserve">cannot simply impose a new vision. One must first listen to the city. The narrow streets of Malasaña require a different sensitivity than the wide avenues of Salamanca or the industrial transformation of Arganzuela. The reflection here is profound: architecture in Madrid is an act of stewardship as much as it is creation. Every project, whether a restoration or a new build, contributes to the narrative fabric that defines what it means to live and work in Spain Madrid. The</w:t>
      </w:r>
      <w:r>
        <w:t xml:space="preserve"> </w:t>
      </w:r>
      <w:r>
        <w:rPr>
          <w:bCs/>
          <w:b/>
        </w:rPr>
        <w:t xml:space="preserve">Architect</w:t>
      </w:r>
      <w:r>
        <w:t xml:space="preserve"> </w:t>
      </w:r>
      <w:r>
        <w:t xml:space="preserve">serves as a bridge between the historical memory of Spain Madrid and its future aspirations.</w:t>
      </w:r>
    </w:p>
    <w:bookmarkEnd w:id="20"/>
    <w:bookmarkStart w:id="21" w:name="Xa98cb26905e9aed50bf8df8dc640d3e9aa11a6b"/>
    <w:p>
      <w:pPr>
        <w:pStyle w:val="Heading2"/>
      </w:pPr>
      <w:r>
        <w:t xml:space="preserve">The Challenge of Modernity amidst Tradition</w:t>
      </w:r>
    </w:p>
    <w:p>
      <w:pPr>
        <w:pStyle w:val="FirstParagraph"/>
      </w:pPr>
      <w:r>
        <w:t xml:space="preserve">A significant portion of contemporary discourse regarding the</w:t>
      </w:r>
    </w:p>
    <w:p>
      <w:pPr>
        <w:pStyle w:val="BodyText"/>
      </w:pPr>
      <w:r>
        <w:t xml:space="preserve">&lt; strong&gt;</w:t>
      </w:r>
    </w:p>
    <w:p>
      <w:pPr>
        <w:pStyle w:val="BodyText"/>
      </w:pPr>
      <w:r>
        <w:t xml:space="preserve">This tension is particularly visible in recent years with developments like Cuatro Torres Business Area, which redefined the skyline. For any</w:t>
      </w:r>
    </w:p>
    <w:p>
      <w:pPr>
        <w:pStyle w:val="BodyText"/>
      </w:pPr>
      <w:r>
        <w:t xml:space="preserve">&lt; strong&gt;</w:t>
      </w:r>
    </w:p>
    <w:bookmarkEnd w:id="21"/>
    <w:bookmarkStart w:id="22" w:name="Xdc3cc563f9e93cc3a5e09fff01e750d85af7c2f"/>
    <w:p>
      <w:pPr>
        <w:pStyle w:val="Heading2"/>
      </w:pPr>
      <w:r>
        <w:t xml:space="preserve">Sustainability and Social Responsibility in Spain Madrid</w:t>
      </w:r>
    </w:p>
    <w:p>
      <w:pPr>
        <w:pStyle w:val="FirstParagraph"/>
      </w:pPr>
      <w:r>
        <w:t xml:space="preserve">Beyond aesthetics and history, the modern</w:t>
      </w:r>
    </w:p>
    <w:p>
      <w:pPr>
        <w:pStyle w:val="BodyText"/>
      </w:pPr>
      <w:r>
        <w:t xml:space="preserve">&lt; strong&gt;</w:t>
      </w:r>
    </w:p>
    <w:p>
      <w:pPr>
        <w:pStyle w:val="BodyText"/>
      </w:pPr>
      <w:r>
        <w:t xml:space="preserve">In Spain Madrid specifically, these challenges are acute. The city faces intense heat waves during summers, requiring designs that prioritize passive cooling and thermal mass. Simultaneously, there is a pressing need for social housing and accessible public spaces as property values rise in central neighborhoods like Chueca or Chamberí. The</w:t>
      </w:r>
    </w:p>
    <w:p>
      <w:pPr>
        <w:pStyle w:val="BodyText"/>
      </w:pPr>
      <w:r>
        <w:t xml:space="preserve">&lt; strong&gt;</w:t>
      </w:r>
    </w:p>
    <w:p>
      <w:pPr>
        <w:pStyle w:val="BodyText"/>
      </w:pPr>
      <w:r>
        <w:t xml:space="preserve">Therefore, the</w:t>
      </w:r>
    </w:p>
    <w:p>
      <w:pPr>
        <w:pStyle w:val="BodyText"/>
      </w:pPr>
      <w:r>
        <w:t xml:space="preserve">&lt; strong&gt;</w:t>
      </w:r>
    </w:p>
    <w:bookmarkEnd w:id="22"/>
    <w:bookmarkStart w:id="23" w:name="the-cultural-identity-of-the-architect"/>
    <w:p>
      <w:pPr>
        <w:pStyle w:val="Heading2"/>
      </w:pPr>
      <w:r>
        <w:t xml:space="preserve">The Cultural Identity of the Architect</w:t>
      </w:r>
    </w:p>
    <w:p>
      <w:pPr>
        <w:pStyle w:val="FirstParagraph"/>
      </w:pPr>
      <w:r>
        <w:t xml:space="preserve">To be an</w:t>
      </w:r>
    </w:p>
    <w:p>
      <w:pPr>
        <w:pStyle w:val="BodyText"/>
      </w:pPr>
      <w:r>
        <w:t xml:space="preserve">&lt; strong&gt;</w:t>
      </w:r>
    </w:p>
    <w:p>
      <w:pPr>
        <w:pStyle w:val="BodyText"/>
      </w:pPr>
      <w:r>
        <w:t xml:space="preserve">This cultural fluency allows the</w:t>
      </w:r>
    </w:p>
    <w:p>
      <w:pPr>
        <w:pStyle w:val="BodyText"/>
      </w:pPr>
      <w:r>
        <w:t xml:space="preserve">&lt; strong&gt;</w:t>
      </w:r>
    </w:p>
    <w:bookmarkEnd w:id="23"/>
    <w:bookmarkStart w:id="24" w:name="Xc986b2e1eae4e895c2a2aac73c3cbb3d68b801c"/>
    <w:p>
      <w:pPr>
        <w:pStyle w:val="Heading2"/>
      </w:pPr>
      <w:r>
        <w:t xml:space="preserve">Conclusion: The Architect as a Civic Leader</w:t>
      </w:r>
    </w:p>
    <w:p>
      <w:pPr>
        <w:pStyle w:val="FirstParagraph"/>
      </w:pPr>
      <w:r>
        <w:t xml:space="preserve">In conclusion, reflecting on the role of the</w:t>
      </w:r>
    </w:p>
    <w:p>
      <w:pPr>
        <w:pStyle w:val="BodyText"/>
      </w:pPr>
      <w:r>
        <w:t xml:space="preserve">&lt; strong&gt;</w:t>
      </w:r>
    </w:p>
    <w:p>
      <w:pPr>
        <w:pStyle w:val="BodyText"/>
      </w:pPr>
      <w:r>
        <w:t xml:space="preserve">The legacy of any</w:t>
      </w:r>
    </w:p>
    <w:p>
      <w:pPr>
        <w:pStyle w:val="BodyText"/>
      </w:pPr>
      <w:r>
        <w:t xml:space="preserve">&lt; strong&gt;</w:t>
      </w:r>
    </w:p>
    <w:p>
      <w:pPr>
        <w:pStyle w:val="BodyText"/>
      </w:pPr>
      <w:r>
        <w:rPr>
          <w:iCs/>
          <w:i/>
        </w:rPr>
        <w:t xml:space="preserve">This reflection paper underscores the critical importance of understanding local context when acting as an Architect in Spain Madrid. It argues that technical proficiency must be matched by cultural and historical sensitivity to create meaningful architectural contributions.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Architect in Spain Madrid</dc:title>
  <dc:creator/>
  <dc:language>en</dc:language>
  <cp:keywords/>
  <dcterms:created xsi:type="dcterms:W3CDTF">2026-07-29T16:39:48Z</dcterms:created>
  <dcterms:modified xsi:type="dcterms:W3CDTF">2026-07-29T16:39:48Z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