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Uzbekistan</w:t>
      </w:r>
      <w:r>
        <w:t xml:space="preserve"> </w:t>
      </w:r>
      <w:r>
        <w:t xml:space="preserve">Tashkent</w:t>
      </w:r>
    </w:p>
    <w:bookmarkStart w:id="20" w:name="X7fb1fb9ba9ff354c7534dcedef09c4a0a8efe5a"/>
    <w:p>
      <w:pPr>
        <w:pStyle w:val="Heading1"/>
      </w:pPr>
      <w:r>
        <w:t xml:space="preserve">The Role of the Auditor in Uzbekistan Tashkent: A Reflection on Integrity and Growth</w:t>
      </w:r>
    </w:p>
    <w:p>
      <w:pPr>
        <w:pStyle w:val="FirstParagraph"/>
      </w:pPr>
      <w:r>
        <w:t xml:space="preserve">In the rapidly evolving economic landscape of Central Asia, few roles are as critical to sustainable development and institutional trust as that of an **Auditor**. This reflection paper explores the multifaceted responsibilities, challenges, and profound impacts associated with being an Auditor within the specific context of Uzbekistan Tashkent. As one of the most dynamic cities in the region, Tashkent serves not only as a commercial hub but also as a symbol of post-Soviet transformation and modernization. In this setting, the practice of auditing transcends mere compliance; it becomes a cornerstone for fostering transparency, attracting foreign investment, and strengthening local governance structures. To reflect on being an Auditor in such an environment requires examining the intersection of traditional accounting principles with emerging market dynamics.</w:t>
      </w:r>
    </w:p>
    <w:p>
      <w:pPr>
        <w:pStyle w:val="BodyText"/>
      </w:pPr>
      <w:r>
        <w:t xml:space="preserve">The primary duty of any **Auditor** is to ensure the accuracy and reliability of financial reporting. However, in Tashkent, this task carries additional weight due to the ongoing reforms aimed at integrating Uzbekistan into global markets. Historically, economic transparency was often opaque in former Soviet republics; today, however there is a palpable shift toward open accounting practices driven by both governmental mandates and international expectations. As an Auditor working or operating within **Uzbekistan Tashkent**, one must navigate this transition carefully. There is a dual pressure to uphold international standards such as International Financial Reporting Standards (IFRS) while remaining sensitive to local business customs and legal frameworks. This balance is delicate yet essential for building credibility among stakeholders who range from small local enterprises seeking loans to multinational corporations evaluating entry strategies into the Uzbek market.</w:t>
      </w:r>
    </w:p>
    <w:p>
      <w:pPr>
        <w:pStyle w:val="BodyText"/>
      </w:pPr>
      <w:r>
        <w:t xml:space="preserve">One significant aspect of this role involves education and capacity building. Many entities in **Uzbekistan Tashkent** are still adapting to modern auditing techniques and digital financial tools. Consequently, an effective Auditor often assumes the mantle of a consultant or educator rather than just a reviewer. This educational component is vital for creating a culture where financial discipline is viewed not as bureaucratic burden but as strategic advantage. For instance, when conducting audits for mid-sized businesses in Tashkent’s growing industrial zones it becomes apparent that many companies lack robust internal control systems. The Auditor's reflection here extends beyond identifying errors to proposing comprehensive solutions that enhance operational efficiency and risk management capabilities.</w:t>
      </w:r>
    </w:p>
    <w:p>
      <w:pPr>
        <w:pStyle w:val="BodyText"/>
      </w:pPr>
      <w:r>
        <w:t xml:space="preserve">Moreover the technological dimension of auditing cannot be overstated. In a city like **Uzbekistan Tashkent** which is aggressively pursuing digital transformation across its public and private sectors, Auditors must leverage advanced data analytics, artificial intelligence, and cloud-based platforms. These technologies allow for real-time monitoring of financial transactions enabling more proactive identification of anomalies or potential frauds. Reflecting on this technological evolution highlights how far the profession has come from manual ledger checks to sophisticated algorithmic assessments. For an Auditor stationed in Tashkent mastering these tools is not optional it is imperative for delivering timely insights that drive decision-making processes.</w:t>
      </w:r>
    </w:p>
    <w:p>
      <w:pPr>
        <w:pStyle w:val="BodyText"/>
      </w:pPr>
      <w:r>
        <w:t xml:space="preserve">Another layer of complexity arises from regulatory changes. The government of Uzbekistan under recent leadership has introduced sweeping reforms designed to liberalize the economy encourage competition and protect investor rights. These reforms directly affect how audits are conducted and reported upon. An Auditor must stay abreast of legislative updates regarding tax codes corporate governance requirements labor laws etcetera failing which their recommendations may become obsolete or non-compliant. This constant vigilance demands lifelong learning and adaptability traits that define a successful modern **Auditor**. It also means engaging actively with policymakers industry associations and academic institutions to shape policies that reflect practical realities on the ground in Tashkent.</w:t>
      </w:r>
    </w:p>
    <w:p>
      <w:pPr>
        <w:pStyle w:val="BodyText"/>
      </w:pPr>
      <w:r>
        <w:t xml:space="preserve">Social responsibility is another area where reflection proves valuable. Being an Auditor in **Uzbekistan Tashkent** places one at the nexus of societal change through ensuring fair wage payments ethical sourcing practices environmental compliance etcetera Companies operating responsibly contribute positively to community welfare enhancing overall quality of life thereby reinforcing social cohesion. Auditors play a pivotal role here by verifying adherence not just to financial metrics but also broader sustainability goals increasingly emphasized globally yet locally relevant especially considering resource management needs in arid regions surrounding Tashkent.</w:t>
      </w:r>
    </w:p>
    <w:p>
      <w:pPr>
        <w:pStyle w:val="BodyText"/>
      </w:pPr>
      <w:r>
        <w:t xml:space="preserve">In conclusion the position held by an **Auditor** within **Uzbekistan Tashkent** encompasses far more than numerical verification. It represents a commitment to integrity innovation inclusivity and continuous improvement amid dynamic socio-economic shifts. By embracing both traditional values of honesty diligence alongside contemporary demands for technological prowess regulatory awareness strategic insight each professional contributes significantly towards establishing robust economic foundations essential for long-term prosperity in this vibrant Central Asian metropolis. Ultimately serving as an Auditor here means being part of a larger narrative reshaping Uzbekistan’s future through transparent accountable governance powered by skilled practitioners dedicated excellence.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the Auditor in Uzbekistan Tashkent</dc:title>
  <dc:creator/>
  <dc:language>en</dc:language>
  <cp:keywords/>
  <dcterms:created xsi:type="dcterms:W3CDTF">2026-07-29T17:58:57Z</dcterms:created>
  <dcterms:modified xsi:type="dcterms:W3CDTF">2026-07-29T17:58:57Z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