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Cairo</w:t>
      </w:r>
    </w:p>
    <w:bookmarkStart w:id="20" w:name="X9ec18395f33623c674da5786adee0a7f887ef8f"/>
    <w:p>
      <w:pPr>
        <w:pStyle w:val="Heading1"/>
      </w:pPr>
      <w:r>
        <w:t xml:space="preserve">The Evolving Role of the Banker in Egypt Cairo</w:t>
      </w:r>
    </w:p>
    <w:p>
      <w:pPr>
        <w:pStyle w:val="FirstParagraph"/>
      </w:pPr>
      <w:r>
        <w:rPr>
          <w:bCs/>
          <w:b/>
        </w:rPr>
        <w:t xml:space="preserve">A Reflection Paper on Modern Financial Stewardship in a Historic Metropolis</w:t>
      </w:r>
    </w:p>
    <w:p>
      <w:r>
        <w:pict>
          <v:rect style="width:0;height:1.5pt" o:hralign="center" o:hrstd="t" o:hr="t"/>
        </w:pict>
      </w:r>
    </w:p>
    <w:p>
      <w:pPr>
        <w:pStyle w:val="FirstParagraph"/>
      </w:pPr>
      <w:r>
        <w:rPr>
          <w:bCs/>
          <w:b/>
        </w:rPr>
        <w:t xml:space="preserve">Key Reflection:</w:t>
      </w:r>
      <w:r>
        <w:t xml:space="preserve"> </w:t>
      </w:r>
      <w:r>
        <w:t xml:space="preserve">The modern banker in Egypt Cairo must navigate a landscape where traditional trust-based relationships coexist with digital innovation and global regulatory demands.</w:t>
      </w:r>
    </w:p>
    <w:p>
      <w:pPr>
        <w:pStyle w:val="BodyText"/>
      </w:pPr>
      <w:r>
        <w:t xml:space="preserve">This reflection paper explores the multifaceted role of the banker in this unique context. It examines how professionals must balance cultural expectations, technological disruption, and economic volatility to serve both their clients and society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Banker in Egypt Cairo</dc:title>
  <dc:creator/>
  <dc:language>en</dc:language>
  <cp:keywords/>
  <dcterms:created xsi:type="dcterms:W3CDTF">2026-07-30T05:54:36Z</dcterms:created>
  <dcterms:modified xsi:type="dcterms:W3CDTF">2026-07-30T05:54:36Z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