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Indonesia</w:t>
      </w:r>
      <w:r>
        <w:t xml:space="preserve"> </w:t>
      </w:r>
      <w:r>
        <w:t xml:space="preserve">Jakarta</w:t>
      </w:r>
    </w:p>
    <w:bookmarkStart w:id="26" w:name="X8ab03bad0f0b56c04ea2c221c95df097e8bb271"/>
    <w:p>
      <w:pPr>
        <w:pStyle w:val="Heading1"/>
      </w:pPr>
      <w:r>
        <w:t xml:space="preserve">A Reflection Paper on the Evolution and Ethical Responsibility of the Banker in Indonesia Jakarta</w:t>
      </w:r>
    </w:p>
    <w:p>
      <w:pPr>
        <w:pStyle w:val="FirstParagraph"/>
      </w:pPr>
      <w:r>
        <w:t xml:space="preserve">The landscape of finance is rarely static, yet nowhere is this dynamism more palpable than in</w:t>
      </w:r>
      <w:r>
        <w:t xml:space="preserve"> </w:t>
      </w:r>
      <w:r>
        <w:rPr>
          <w:bCs/>
          <w:b/>
        </w:rPr>
        <w:t xml:space="preserve">Indonesia Jakarta</w:t>
      </w:r>
      <w:r>
        <w:t xml:space="preserve">. As the economic heartbeat of one of Southeast Asia’s largest emerging economies, Jakarta serves as a microcosm for the complex interplay between rapid digitalization, traditional cultural values, and global financial standards. In this context, reflecting on the role and identity of a</w:t>
      </w:r>
      <w:r>
        <w:t xml:space="preserve"> </w:t>
      </w:r>
      <w:r>
        <w:rPr>
          <w:bCs/>
          <w:b/>
        </w:rPr>
        <w:t xml:space="preserve">Banker</w:t>
      </w:r>
      <w:r>
        <w:t xml:space="preserve"> </w:t>
      </w:r>
      <w:r>
        <w:t xml:space="preserve">requires more than just an analysis of balance sheets or interest rates; it demands a deep contemplation of social responsibility, technological adaptation, and ethical stewardship. This reflection paper seeks to explore how the definition of a banker has shifted within the vibrant and often chaotic environment of</w:t>
      </w:r>
      <w:r>
        <w:t xml:space="preserve"> </w:t>
      </w:r>
      <w:r>
        <w:rPr>
          <w:bCs/>
          <w:b/>
        </w:rPr>
        <w:t xml:space="preserve">Indonesia Jakarta</w:t>
      </w:r>
      <w:r>
        <w:t xml:space="preserve">, moving from mere custodians of capital to facilitators of national development.</w:t>
      </w:r>
    </w:p>
    <w:bookmarkStart w:id="20" w:name="X33c726a2e6e07381c079bdd8d215de5de0ede98"/>
    <w:p>
      <w:pPr>
        <w:pStyle w:val="Heading2"/>
      </w:pPr>
      <w:r>
        <w:t xml:space="preserve">The Historical Context: From Colonial Roots to National Pride</w:t>
      </w:r>
    </w:p>
    <w:p>
      <w:pPr>
        <w:pStyle w:val="FirstParagraph"/>
      </w:pPr>
      <w:r>
        <w:t xml:space="preserve">To understand the modern</w:t>
      </w:r>
      <w:r>
        <w:t xml:space="preserve"> </w:t>
      </w:r>
      <w:r>
        <w:rPr>
          <w:bCs/>
          <w:b/>
        </w:rPr>
        <w:t xml:space="preserve">Banker</w:t>
      </w:r>
      <w:r>
        <w:t xml:space="preserve">, one must first acknowledge the historical weight carried by financial institutions in</w:t>
      </w:r>
      <w:r>
        <w:t xml:space="preserve"> </w:t>
      </w:r>
      <w:r>
        <w:rPr>
          <w:bCs/>
          <w:b/>
        </w:rPr>
        <w:t xml:space="preserve">Indonesia Jakarta</w:t>
      </w:r>
      <w:r>
        <w:t xml:space="preserve">. The banking sector here is deeply intertwined with the nation’s journey toward independence and sovereignty. Historically, banks were instruments of colonial control, but post-independence, they became tools for rebuilding a fractured nation. This historical narrative has instilled a sense of national pride within the Indonesian banking sector. For the contemporary banker operating in</w:t>
      </w:r>
      <w:r>
        <w:t xml:space="preserve"> </w:t>
      </w:r>
      <w:r>
        <w:rPr>
          <w:bCs/>
          <w:b/>
        </w:rPr>
        <w:t xml:space="preserve">Indonesia Jakarta</w:t>
      </w:r>
      <w:r>
        <w:t xml:space="preserve">, this history is not just background noise; it is a guiding principle. There is an implicit expectation that banks should serve the people, fostering economic stability and growth rather than merely extracting profit for foreign shareholders or elite classes.</w:t>
      </w:r>
    </w:p>
    <w:p>
      <w:pPr>
        <w:pStyle w:val="BodyText"/>
      </w:pPr>
      <w:r>
        <w:t xml:space="preserve">This historical backdrop influences the demeanor of the</w:t>
      </w:r>
      <w:r>
        <w:t xml:space="preserve"> </w:t>
      </w:r>
      <w:r>
        <w:rPr>
          <w:bCs/>
          <w:b/>
        </w:rPr>
        <w:t xml:space="preserve">Banker</w:t>
      </w:r>
      <w:r>
        <w:t xml:space="preserve">. In many Western contexts, banking is often viewed through a purely transactional lens. However, in</w:t>
      </w:r>
      <w:r>
        <w:t xml:space="preserve"> </w:t>
      </w:r>
      <w:r>
        <w:rPr>
          <w:bCs/>
          <w:b/>
        </w:rPr>
        <w:t xml:space="preserve">Indonesia Jakarta</w:t>
      </w:r>
      <w:r>
        <w:t xml:space="preserve">, banking retains a significant relational component. The concept of *silaturahmi* (maintaining relationships) permeates business dealings. A banker is not just an analyst but often expected to be a trusted advisor and community member. This relational dynamic means that trust is earned not only through financial performance but also through personal integrity and long-term engagement with clients.</w:t>
      </w:r>
    </w:p>
    <w:bookmarkEnd w:id="20"/>
    <w:bookmarkStart w:id="21" w:name="Xf0e636aaa327649c2b814f3afa1ce758ee65a9e"/>
    <w:p>
      <w:pPr>
        <w:pStyle w:val="Heading2"/>
      </w:pPr>
      <w:r>
        <w:t xml:space="preserve">The Digital Disruption: The Banker in the Tech Era</w:t>
      </w:r>
    </w:p>
    <w:p>
      <w:pPr>
        <w:pStyle w:val="FirstParagraph"/>
      </w:pPr>
      <w:r>
        <w:t xml:space="preserve">However, tradition alone cannot sustain the relevance of a</w:t>
      </w:r>
      <w:r>
        <w:t xml:space="preserve"> </w:t>
      </w:r>
      <w:r>
        <w:rPr>
          <w:bCs/>
          <w:b/>
        </w:rPr>
        <w:t xml:space="preserve">Banker</w:t>
      </w:r>
      <w:r>
        <w:t xml:space="preserve"> </w:t>
      </w:r>
      <w:r>
        <w:t xml:space="preserve">in modern</w:t>
      </w:r>
      <w:r>
        <w:t xml:space="preserve"> </w:t>
      </w:r>
      <w:r>
        <w:rPr>
          <w:bCs/>
          <w:b/>
        </w:rPr>
        <w:t xml:space="preserve">Indonesia Jakarta</w:t>
      </w:r>
      <w:r>
        <w:t xml:space="preserve">. The last decade has witnessed an unprecedented digital revolution. Jakarta is frequently cited as one of the fastest-growing startup hubs in Southeast Asia, with fintech companies challenging traditional banking models daily. For the traditional banker, this presents both a threat and an opportunity. The reflection here is crucial: Is the banker obsolete? No, but their skill set must evolve.</w:t>
      </w:r>
    </w:p>
    <w:p>
      <w:pPr>
        <w:pStyle w:val="BodyText"/>
      </w:pPr>
      <w:r>
        <w:t xml:space="preserve">The modern</w:t>
      </w:r>
      <w:r>
        <w:t xml:space="preserve"> </w:t>
      </w:r>
      <w:r>
        <w:rPr>
          <w:bCs/>
          <w:b/>
        </w:rPr>
        <w:t xml:space="preserve">Banker</w:t>
      </w:r>
      <w:r>
        <w:t xml:space="preserve"> </w:t>
      </w:r>
      <w:r>
        <w:t xml:space="preserve">in</w:t>
      </w:r>
      <w:r>
        <w:t xml:space="preserve"> </w:t>
      </w:r>
      <w:r>
        <w:rPr>
          <w:bCs/>
          <w:b/>
        </w:rPr>
        <w:t xml:space="preserve">Indonesia Jakarta</w:t>
      </w:r>
      <w:r>
        <w:t xml:space="preserve"> </w:t>
      </w:r>
      <w:r>
        <w:t xml:space="preserve">must be bilingual—not just in languages, but in paradigms. They must understand the algorithms of digital lending platforms as well as they understand credit risk assessment. The rise of gojek, ovo, and various digital banks has forced traditional institutions to pivot rapidly. A banker today cannot simply sit behind a desk waiting for customers to walk in; they must be proactive in designing user-centric digital experiences that cater to a mobile-first population. This shift requires humility and adaptability. It demands that the banker acknowledge their limitations in technology while leveraging partnerships with fintech firms. The reflection here is one of collaboration rather than competition.</w:t>
      </w:r>
    </w:p>
    <w:bookmarkEnd w:id="21"/>
    <w:bookmarkStart w:id="22" w:name="inclusion-and-the-unbanked-population"/>
    <w:p>
      <w:pPr>
        <w:pStyle w:val="Heading2"/>
      </w:pPr>
      <w:r>
        <w:t xml:space="preserve">Inclusion and the Unbanked Population</w:t>
      </w:r>
    </w:p>
    <w:p>
      <w:pPr>
        <w:pStyle w:val="FirstParagraph"/>
      </w:pPr>
      <w:r>
        <w:t xml:space="preserve">One of the most profound reflections on the role of a</w:t>
      </w:r>
      <w:r>
        <w:t xml:space="preserve"> </w:t>
      </w:r>
      <w:r>
        <w:rPr>
          <w:bCs/>
          <w:b/>
        </w:rPr>
        <w:t xml:space="preserve">Banker</w:t>
      </w:r>
      <w:r>
        <w:t xml:space="preserve"> </w:t>
      </w:r>
      <w:r>
        <w:t xml:space="preserve">in</w:t>
      </w:r>
      <w:r>
        <w:t xml:space="preserve"> </w:t>
      </w:r>
      <w:r>
        <w:rPr>
          <w:bCs/>
          <w:b/>
        </w:rPr>
        <w:t xml:space="preserve">Indonesia Jakarta</w:t>
      </w:r>
      <w:r>
        <w:t xml:space="preserve">, and indeed across Indonesia, concerns financial inclusion. Despite being a major economic power, a significant portion of the population remains unbanked or underbanked. The geography of Indonesia, with its thousands of islands, makes traditional branch banking costly and inefficient. Here, the banker’s role transforms into that of an agent for social equity.</w:t>
      </w:r>
    </w:p>
    <w:p>
      <w:pPr>
        <w:pStyle w:val="BodyText"/>
      </w:pPr>
      <w:r>
        <w:t xml:space="preserve">Reflecting on this aspect brings to light the ethical dimension of banking. How can a</w:t>
      </w:r>
      <w:r>
        <w:t xml:space="preserve"> </w:t>
      </w:r>
      <w:r>
        <w:rPr>
          <w:bCs/>
          <w:b/>
        </w:rPr>
        <w:t xml:space="preserve">Banker</w:t>
      </w:r>
      <w:r>
        <w:t xml:space="preserve"> </w:t>
      </w:r>
      <w:r>
        <w:t xml:space="preserve">in</w:t>
      </w:r>
      <w:r>
        <w:t xml:space="preserve"> </w:t>
      </w:r>
      <w:r>
        <w:rPr>
          <w:bCs/>
          <w:b/>
        </w:rPr>
        <w:t xml:space="preserve">Indonesia Jakarta</w:t>
      </w:r>
    </w:p>
    <w:bookmarkEnd w:id="22"/>
    <w:bookmarkStart w:id="23" w:name="X86b1f56eb6ae41a2330fb3ae09120c63d306174"/>
    <w:p>
      <w:pPr>
        <w:pStyle w:val="Heading2"/>
      </w:pPr>
      <w:r>
        <w:t xml:space="preserve">Regulatory Compliance and Ethical Stewardship</w:t>
      </w:r>
    </w:p>
    <w:p>
      <w:pPr>
        <w:pStyle w:val="FirstParagraph"/>
      </w:pPr>
      <w:r>
        <w:t xml:space="preserve">Navigating the regulatory environment in</w:t>
      </w:r>
      <w:r>
        <w:t xml:space="preserve"> </w:t>
      </w:r>
      <w:r>
        <w:rPr>
          <w:bCs/>
          <w:b/>
        </w:rPr>
        <w:t xml:space="preserve">Indonesia Jakarta</w:t>
      </w:r>
      <w:r>
        <w:t xml:space="preserve"> </w:t>
      </w:r>
      <w:r>
        <w:t xml:space="preserve">is another critical area for reflection. The Otoritas Jasa Keuangan (OJK) and Bank Indonesia have implemented stringent regulations to ensure stability and protect consumers. For the banker, compliance is not merely a bureaucratic hurdle but a fundamental ethical obligation. In a market that can sometimes be prone to aggressive lending or opaque practices, the banker must act as a guardian of transparency.</w:t>
      </w:r>
    </w:p>
    <w:p>
      <w:pPr>
        <w:pStyle w:val="BodyText"/>
      </w:pPr>
      <w:r>
        <w:t xml:space="preserve">This reflection underscores the importance of integrity. Scandals in other emerging markets have shown how quickly trust can evaporate when ethics are compromised. For bankers in</w:t>
      </w:r>
      <w:r>
        <w:t xml:space="preserve"> </w:t>
      </w:r>
      <w:r>
        <w:rPr>
          <w:bCs/>
          <w:b/>
        </w:rPr>
        <w:t xml:space="preserve">Indonesia Jakarta</w:t>
      </w:r>
      <w:r>
        <w:t xml:space="preserve">, maintaining a clean record and adhering to high ethical standards is paramount for long-term success. It involves resisting short-term pressures to engage in risky behaviors and instead focusing on sustainable growth. The banker must balance the profit motive with the broader societal impact of their actions.</w:t>
      </w:r>
    </w:p>
    <w:bookmarkEnd w:id="23"/>
    <w:bookmarkStart w:id="24" w:name="X64aa05470a3fec5fbaf7270f6665820d1006575"/>
    <w:p>
      <w:pPr>
        <w:pStyle w:val="Heading2"/>
      </w:pPr>
      <w:r>
        <w:t xml:space="preserve">The Cultural Nuance: Harmony and Responsibility</w:t>
      </w:r>
    </w:p>
    <w:p>
      <w:pPr>
        <w:pStyle w:val="FirstParagraph"/>
      </w:pPr>
      <w:r>
        <w:t xml:space="preserve">Furthermore, the cultural fabric of</w:t>
      </w:r>
      <w:r>
        <w:t xml:space="preserve"> </w:t>
      </w:r>
      <w:r>
        <w:rPr>
          <w:bCs/>
          <w:b/>
        </w:rPr>
        <w:t xml:space="preserve">Indonesia Jakarta</w:t>
      </w:r>
      <w:r>
        <w:t xml:space="preserve"> </w:t>
      </w:r>
      <w:r>
        <w:t xml:space="preserve">plays a significant role in shaping banking practices. Indonesian culture places a high value on harmony and consensus (*musyawarah mufakat*). This influences how bankers negotiate loans, handle disputes, and interact with employees. A banker who ignores these cultural nuances risks alienating clients and staff alike. Effective leadership in this context requires emotional intelligence and the ability to navigate complex social dynamics.</w:t>
      </w:r>
    </w:p>
    <w:p>
      <w:pPr>
        <w:pStyle w:val="BodyText"/>
      </w:pPr>
      <w:r>
        <w:t xml:space="preserve">For instance, when dealing with Small and Medium Enterprises (SMEs), which form the backbone of the Indonesian economy, bankers must understand the informal nature of many business operations. Rigid adherence to Western-style documentation may stifle growth for these businesses. Instead, a culturally aware banker will work creatively to assess creditworthiness based on cash flow and community reputation, not just formal financial statements. This adaptability is a hallmark of the successful</w:t>
      </w:r>
      <w:r>
        <w:t xml:space="preserve"> </w:t>
      </w:r>
      <w:r>
        <w:rPr>
          <w:bCs/>
          <w:b/>
        </w:rPr>
        <w:t xml:space="preserve">Banker</w:t>
      </w:r>
      <w:r>
        <w:t xml:space="preserve"> </w:t>
      </w:r>
      <w:r>
        <w:t xml:space="preserve">in</w:t>
      </w:r>
      <w:r>
        <w:t xml:space="preserve"> </w:t>
      </w:r>
      <w:r>
        <w:rPr>
          <w:bCs/>
          <w:b/>
        </w:rPr>
        <w:t xml:space="preserve">Indonesia Jakarta</w:t>
      </w:r>
      <w:r>
        <w:t xml:space="preserve">.</w:t>
      </w:r>
    </w:p>
    <w:bookmarkEnd w:id="24"/>
    <w:bookmarkStart w:id="25" w:name="Xa5c875c4c9eece3c333da3446ff41a22c1e9898"/>
    <w:p>
      <w:pPr>
        <w:pStyle w:val="Heading2"/>
      </w:pPr>
      <w:r>
        <w:t xml:space="preserve">Conclusion: The Future of Banking in the Capital</w:t>
      </w:r>
    </w:p>
    <w:p>
      <w:pPr>
        <w:pStyle w:val="FirstParagraph"/>
      </w:pPr>
      <w:r>
        <w:t xml:space="preserve">In conclusion, reflecting on the role of the banker in</w:t>
      </w:r>
      <w:r>
        <w:t xml:space="preserve"> </w:t>
      </w:r>
      <w:r>
        <w:rPr>
          <w:bCs/>
          <w:b/>
        </w:rPr>
        <w:t xml:space="preserve">Indonesia Jakarta</w:t>
      </w:r>
      <w:r>
        <w:t xml:space="preserve">, it becomes evident that this profession is undergoing a profound transformation. It is no longer sufficient to be merely a numbers cruncher or a loan officer. The modern banker must be a technological innovator, an ethical leader, and a socially conscious community partner.</w:t>
      </w:r>
    </w:p>
    <w:p>
      <w:pPr>
        <w:pStyle w:val="BodyText"/>
      </w:pPr>
      <w:r>
        <w:t xml:space="preserve">The unique environment of</w:t>
      </w:r>
      <w:r>
        <w:t xml:space="preserve"> </w:t>
      </w:r>
      <w:r>
        <w:rPr>
          <w:bCs/>
          <w:b/>
        </w:rPr>
        <w:t xml:space="preserve">Indonesia Jakarta</w:t>
      </w:r>
      <w:r>
        <w:t xml:space="preserve">, with its blend of rapid urbanization, digital adoption, and deep-rooted cultural traditions, demands a holistic approach to banking. As we look to the future, the bankers who will thrive are those who embrace this complexity. They must bridge the gap between tradition and innovation, between profit and purpose. For Indonesia Jakarta to continue its ascent as an economic powerhouse in Southeast Asia, it requires bankers who are not only financially astute but also deeply committed to the well-being of their nation’s people. This reflection serves as a reminder that banking is, at its core, a human endeavor—one that requires empathy, integrity, and a steadfast commitment to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Banker in Indonesia Jakarta</dc:title>
  <dc:creator/>
  <dc:language>en</dc:language>
  <cp:keywords/>
  <dcterms:created xsi:type="dcterms:W3CDTF">2026-07-30T06:17:29Z</dcterms:created>
  <dcterms:modified xsi:type="dcterms:W3CDTF">2026-07-30T06:17:29Z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