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Tehran,</w:t>
      </w:r>
      <w:r>
        <w:t xml:space="preserve"> </w:t>
      </w:r>
      <w:r>
        <w:t xml:space="preserve">Iran</w:t>
      </w:r>
    </w:p>
    <w:bookmarkStart w:id="26" w:name="X8f9986f7ad8bbb6ab982cbfe4b6de3e866379b4"/>
    <w:p>
      <w:pPr>
        <w:pStyle w:val="Heading1"/>
      </w:pPr>
      <w:r>
        <w:t xml:space="preserve">The Nexus of Tradition, Modernity, and Resilience: A Reflection on the Role of the Banker in Tehran, Iran</w:t>
      </w:r>
    </w:p>
    <w:p>
      <w:pPr>
        <w:pStyle w:val="FirstParagraph"/>
      </w:pPr>
      <w:r>
        <w:t xml:space="preserve">To understand the profession of a banker within the specific socio-economic and geopolitical context of Tehran, Iran, one must first dismantle the Western-centric definition of banking. In many developed economies, banking is viewed primarily through the lens of profit maximization, financial engineering for global markets, or consumer convenience. However, in Tehran—the bustling capital and economic heart of Iran—the role of the banker transcends mere transactional facilitation. The banker in this region operates at the intersection of Islamic ethical jurisprudence (Sharia), state regulatory frameworks, international sanctions pressure, and deep-rooted cultural traditions. This reflection explores how these forces shape the identity, responsibilities, and daily realities of being a banker in Tehran.</w:t>
      </w:r>
    </w:p>
    <w:bookmarkStart w:id="20" w:name="Xf7c3d6b583f4e2ce2adabbbc3f6c4e6b64a16ca"/>
    <w:p>
      <w:pPr>
        <w:pStyle w:val="Heading2"/>
      </w:pPr>
      <w:r>
        <w:t xml:space="preserve">The Ethical Foundation: Sharia Compliance as Core Identity</w:t>
      </w:r>
    </w:p>
    <w:p>
      <w:pPr>
        <w:pStyle w:val="FirstParagraph"/>
      </w:pPr>
      <w:r>
        <w:t xml:space="preserve">The most fundamental aspect of being a banker in Iran is the adherence to Islamic banking principles. Unlike conventional Western banking, which relies heavily on interest (Riba), Iranian banks operate on profit-and-loss sharing models and trade-based contracts such as</w:t>
      </w:r>
      <w:r>
        <w:t xml:space="preserve"> </w:t>
      </w:r>
      <w:r>
        <w:rPr>
          <w:iCs/>
          <w:i/>
        </w:rPr>
        <w:t xml:space="preserve">Mudaraba</w:t>
      </w:r>
      <w:r>
        <w:t xml:space="preserve">,</w:t>
      </w:r>
      <w:r>
        <w:t xml:space="preserve"> </w:t>
      </w:r>
      <w:r>
        <w:rPr>
          <w:iCs/>
          <w:i/>
        </w:rPr>
        <w:t xml:space="preserve">Musharaka</w:t>
      </w:r>
      <w:r>
        <w:t xml:space="preserve">, and</w:t>
      </w:r>
      <w:r>
        <w:t xml:space="preserve"> </w:t>
      </w:r>
      <w:r>
        <w:rPr>
          <w:iCs/>
          <w:i/>
        </w:rPr>
        <w:t xml:space="preserve">Ijara</w:t>
      </w:r>
    </w:p>
    <w:p>
      <w:pPr>
        <w:pStyle w:val="BodyText"/>
      </w:pPr>
      <w:r>
        <w:t xml:space="preserve">This requirement forces the banker to possess a dual competency: financial acumen and religious literacy. A banker in Tehran must understand complex financial instruments while simultaneously interpreting Sharia rulings issued by the central bank’s supervision council. This creates a unique professional identity where moral responsibility is intertwined with fiduciary duty. The reflection here is profound: the banker acts not just as a servant of capital, but as a guardian of social justice within an Islamic framework, ensuring that wealth circulation does not exploit the vulnerable but rather stimulates productive investment.</w:t>
      </w:r>
    </w:p>
    <w:bookmarkEnd w:id="20"/>
    <w:bookmarkStart w:id="21" w:name="X17b30d39fa038541678bcabe078a19ca4a7d18a"/>
    <w:p>
      <w:pPr>
        <w:pStyle w:val="Heading2"/>
      </w:pPr>
      <w:r>
        <w:t xml:space="preserve">The Geopolitical Crucible: Navigating Sanctions and Isolation</w:t>
      </w:r>
    </w:p>
    <w:p>
      <w:pPr>
        <w:pStyle w:val="FirstParagraph"/>
      </w:pPr>
      <w:r>
        <w:t xml:space="preserve">No reflection on banking in Tehran can be complete without addressing the shadow of international sanctions. The geopolitical isolation of Iran has severely constrained its integration into the global financial system, particularly SWIFT and correspondent banking relationships with Western institutions. For a banker in Tehran, this reality translates to a daily exercise in resilience and innovation.</w:t>
      </w:r>
    </w:p>
    <w:p>
      <w:pPr>
        <w:pStyle w:val="BodyText"/>
      </w:pPr>
      <w:r>
        <w:t xml:space="preserve">The inability to easily transact internationally means that bankers must be creative intermediaries. They often rely on barter systems, local currency swaps with neighboring countries like Iraq or Turkey, and intricate networks of hawala-like informal value transfer systems for cross-border trade financing. This environment cultivates a specific type of banker: one who is resourceful, highly networked locally, and skilled in circumventing bureaucratic deadlocks. The stress of this isolation is palpable; bankers bear the burden of facilitating national trade while navigating a labyrinth of compliance risks that could lead to secondary sanctions or account freezes. It creates a sense of professional isolation, where the banker feels disconnected from the broader global financial community yet deeply connected to their domestic counterparts.</w:t>
      </w:r>
    </w:p>
    <w:bookmarkEnd w:id="21"/>
    <w:bookmarkStart w:id="22" w:name="X8a5b294bc316fc77ab99e83132c26e16dc8c649"/>
    <w:p>
      <w:pPr>
        <w:pStyle w:val="Heading2"/>
      </w:pPr>
      <w:r>
        <w:t xml:space="preserve">The Socio-Economic Buffer: Managing Inflation and Public Trust</w:t>
      </w:r>
    </w:p>
    <w:p>
      <w:pPr>
        <w:pStyle w:val="FirstParagraph"/>
      </w:pPr>
      <w:r>
        <w:t xml:space="preserve">Tehran’s economy is characterized by high inflation rates, currency volatility (particularly regarding the Rial), and a large informal sector. In this context, the banker serves as a crucial buffer between state policy and household livelihoods. When inflation erodes purchasing power, depositors lose confidence in savings accounts if real returns are negative. Therefore, Iranian bankers must design products that offer some protection against inflation while adhering to Sharia limits.</w:t>
      </w:r>
    </w:p>
    <w:p>
      <w:pPr>
        <w:pStyle w:val="BodyText"/>
      </w:pPr>
      <w:r>
        <w:t xml:space="preserve">This dynamic places immense pressure on the banker’s relationship with the public. Trust is fragile. The banker is often viewed with suspicion, seen either as an agent of a rigid state apparatus or as part of an elite class benefiting from preferential access to foreign currency allocations (a common critique in Iranian economic discourse). Consequently, soft skills are paramount. A successful banker in Tehran must be empathetic, patient, and politically astute. They must explain complex monetary policies to everyday citizens who may struggle with basic financial literacy due to years of economic instability. The reflection here is somber: the banker is often on the front lines of social discontent regarding economic hardship, yet they possess limited tools to influence macroeconomic outcomes directly.</w:t>
      </w:r>
    </w:p>
    <w:bookmarkEnd w:id="22"/>
    <w:bookmarkStart w:id="23" w:name="X344f6644316285eaec6bc0b2d36dc966dde637d"/>
    <w:p>
      <w:pPr>
        <w:pStyle w:val="Heading2"/>
      </w:pPr>
      <w:r>
        <w:t xml:space="preserve">Cultural Nuances and Relationship Banking</w:t>
      </w:r>
    </w:p>
    <w:p>
      <w:pPr>
        <w:pStyle w:val="FirstParagraph"/>
      </w:pPr>
      <w:r>
        <w:t xml:space="preserve">In Tehran, banking remains deeply relational. Unlike the digital-first approach seen in Scandinavia or Estonia, Iranian banking culture still heavily relies on personal connections (</w:t>
      </w:r>
      <w:r>
        <w:rPr>
          <w:iCs/>
          <w:i/>
        </w:rPr>
        <w:t xml:space="preserve">Namadi</w:t>
      </w:r>
      <w:r>
        <w:t xml:space="preserve">). Knowing a client’s family background, social standing, and reputation is often as important as their credit score. This reflects the broader Persian cultural emphasis on honor and trust.</w:t>
      </w:r>
    </w:p>
    <w:p>
      <w:pPr>
        <w:pStyle w:val="BodyText"/>
      </w:pPr>
      <w:r>
        <w:t xml:space="preserve">For the banker in Tehran, this means that professional life cannot be entirely segregated from personal life. Building rapport involves more than just signing contracts; it requires engaging in social pleasantries, understanding family dynamics, and respecting hierarchical structures. This human-centric approach can be both a strength and a weakness. It allows for personalized service and flexibility but also opens the door to nepotism or corruption if not strictly monitored by internal controls. The banker must constantly balance traditional relational expectations with modern risk management protocols.</w:t>
      </w:r>
    </w:p>
    <w:bookmarkEnd w:id="23"/>
    <w:bookmarkStart w:id="24" w:name="the-digital-transition-a-dual-challenge"/>
    <w:p>
      <w:pPr>
        <w:pStyle w:val="Heading2"/>
      </w:pPr>
      <w:r>
        <w:t xml:space="preserve">The Digital Transition: A Dual Challenge</w:t>
      </w:r>
    </w:p>
    <w:p>
      <w:pPr>
        <w:pStyle w:val="FirstParagraph"/>
      </w:pPr>
      <w:r>
        <w:t xml:space="preserve">Despite these challenges, Tehran is witnessing a rapid digital transformation. Due to the lack of access to global fintech solutions and payment gateways like Visa or Mastercard, domestic tech companies have filled the void. Iranian banks are increasingly adopting mobile banking apps, instant payment systems (such as Shetab), and blockchain initiatives for local transactions. The banker in Tehran is no longer just a branch-based manager but must also oversee digital platforms that serve millions of users.</w:t>
      </w:r>
    </w:p>
    <w:p>
      <w:pPr>
        <w:pStyle w:val="BodyText"/>
      </w:pPr>
      <w:r>
        <w:t xml:space="preserve">This shift requires continuous upskilling. Older bankers face the challenge of adapting to user-friendly interfaces and data analytics, while younger bankers must navigate the technical complexities of secure domestic infrastructure. The reflection here is one of cautious optimism: technology offers a lifeline for efficiency and transparency, potentially reducing corruption and improving service speed, but it also raises concerns about digital exclusion for older generations or those in rural areas outside Tehran.</w:t>
      </w:r>
    </w:p>
    <w:bookmarkEnd w:id="24"/>
    <w:bookmarkStart w:id="25" w:name="conclusion"/>
    <w:p>
      <w:pPr>
        <w:pStyle w:val="Heading2"/>
      </w:pPr>
      <w:r>
        <w:t xml:space="preserve">Conclusion</w:t>
      </w:r>
    </w:p>
    <w:p>
      <w:pPr>
        <w:pStyle w:val="FirstParagraph"/>
      </w:pPr>
      <w:r>
        <w:t xml:space="preserve">In conclusion, being a banker in Tehran is a multifaceted profession that defies simple categorization. It is an role defined by resilience against external geopolitical pressures, adherence to internal religious ethics, and the management of domestic economic volatility. The banker in this context is not merely a financial intermediary but a cultural interpreter and an economic stabilizer. They navigate a complex landscape where traditional Persian hospitality meets rigid Sharia compliance, and where global isolation forces local innovation. To reflect on this profession is to acknowledge the immense complexity of operating within one of the world’s most unique financial environments. The banker in Tehran embodies the struggle between tradition and modernity, isolation and connectivity, ultimately serving as a critical node in Iran’s attempt to maintain economic functionality amidst significant structural challenges.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Banker in Tehran, Iran</dc:title>
  <dc:creator/>
  <dc:language>en</dc:language>
  <cp:keywords/>
  <dcterms:created xsi:type="dcterms:W3CDTF">2026-07-30T02:37:17Z</dcterms:created>
  <dcterms:modified xsi:type="dcterms:W3CDTF">2026-07-30T02:37:17Z</dcterms:modified>
</cp:coreProperties>
</file>

<file path=docProps/custom.xml><?xml version="1.0" encoding="utf-8"?>
<Properties xmlns="http://schemas.openxmlformats.org/officeDocument/2006/custom-properties" xmlns:vt="http://schemas.openxmlformats.org/officeDocument/2006/docPropsVTypes"/>
</file>